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They </w:t>
      </w:r>
      <w:r>
        <w:rPr>
          <w:b/>
          <w:i w:val="0"/>
          <w:smallCaps w:val="0"/>
          <w:strike w:val="0"/>
          <w:sz w:val="26"/>
          <w:u w:val="single"/>
        </w:rPr>
        <w:t>bar</w:t>
      </w:r>
      <w:r>
        <w:rPr>
          <w:b/>
          <w:i w:val="0"/>
          <w:smallCaps w:val="0"/>
          <w:strike w:val="0"/>
          <w:sz w:val="26"/>
          <w:u w:val="none"/>
        </w:rPr>
        <w:t xml:space="preserve"> trademark protection.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Victoria </w:t>
      </w:r>
      <w:r>
        <w:rPr>
          <w:b/>
          <w:i w:val="0"/>
          <w:smallCaps w:val="0"/>
          <w:strike w:val="0"/>
          <w:sz w:val="26"/>
          <w:u w:val="none"/>
        </w:rPr>
        <w:t>Panettiere 24</w:t>
      </w:r>
      <w:r>
        <w:rPr>
          <w:b w:val="0"/>
          <w:i w:val="0"/>
          <w:smallCaps w:val="0"/>
          <w:strike w:val="0"/>
          <w:u w:val="none"/>
        </w:rPr>
        <w:t xml:space="preserve">, JD candidate at GW Law School, BS from Northeastern, “The Green Wave and Potential Impacts on Federal Trademark Eligibility,” </w:t>
      </w:r>
      <w:r>
        <w:rPr>
          <w:b w:val="0"/>
          <w:i/>
          <w:smallCaps w:val="0"/>
          <w:strike w:val="0"/>
          <w:u w:val="none"/>
        </w:rPr>
        <w:t>Federal Circuit Bar Journal</w:t>
      </w:r>
      <w:r>
        <w:rPr>
          <w:b w:val="0"/>
          <w:i w:val="0"/>
          <w:smallCaps w:val="0"/>
          <w:strike w:val="0"/>
          <w:u w:val="none"/>
        </w:rPr>
        <w:t>, 33(2), pp. 183-184,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Despite rapid state-level efforts toward legalization,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federal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prohibition presents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major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problem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businesses in the industry seeking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federal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trademark protection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91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avoid being </w:t>
      </w:r>
      <w:r>
        <w:rPr>
          <w:b/>
          <w:i w:val="0"/>
          <w:smallCaps w:val="0"/>
          <w:strike w:val="0"/>
          <w:sz w:val="22"/>
          <w:u w:val="single"/>
        </w:rPr>
        <w:t>barred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federal trademark protections,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 businesses must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either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jump 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major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hoops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ensure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compliance with federal law or settle for </w:t>
      </w:r>
      <w:r>
        <w:rPr>
          <w:b/>
          <w:i w:val="0"/>
          <w:smallCaps w:val="0"/>
          <w:strike w:val="0"/>
          <w:sz w:val="22"/>
          <w:u w:val="single"/>
        </w:rPr>
        <w:t xml:space="preserve">less rigorous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[*184] </w:t>
      </w:r>
      <w:r>
        <w:rPr>
          <w:b w:val="0"/>
          <w:i w:val="0"/>
          <w:smallCaps w:val="0"/>
          <w:strike w:val="0"/>
          <w:sz w:val="22"/>
          <w:u w:val="single"/>
        </w:rPr>
        <w:t>trademark law.</w:t>
      </w:r>
      <w:r>
        <w:rPr>
          <w:b w:val="0"/>
          <w:i w:val="0"/>
          <w:smallCaps w:val="0"/>
          <w:strike w:val="0"/>
          <w:sz w:val="16"/>
          <w:u w:val="none"/>
        </w:rPr>
        <w:t>92 These limited options not only depress the industry but also cause harm to consumers, cannabis farmers, and business owners while directly conflicting with the purposes of federal trademark law.93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