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sole</w:t>
      </w:r>
      <w:r>
        <w:rPr>
          <w:b/>
          <w:i w:val="0"/>
          <w:smallCaps w:val="0"/>
          <w:strike w:val="0"/>
          <w:sz w:val="26"/>
          <w:u w:val="none"/>
        </w:rPr>
        <w:t xml:space="preserve"> mandate of the plan is to </w:t>
      </w:r>
      <w:r>
        <w:rPr>
          <w:b/>
          <w:i w:val="0"/>
          <w:smallCaps w:val="0"/>
          <w:strike w:val="0"/>
          <w:sz w:val="26"/>
          <w:u w:val="single"/>
        </w:rPr>
        <w:t>take it off</w:t>
      </w:r>
      <w:r>
        <w:rPr>
          <w:b/>
          <w:i w:val="0"/>
          <w:smallCaps w:val="0"/>
          <w:strike w:val="0"/>
          <w:sz w:val="26"/>
          <w:u w:val="none"/>
        </w:rPr>
        <w:t xml:space="preserve"> restricted Schedules. </w:t>
      </w:r>
    </w:p>
    <w:p>
      <w:pPr>
        <w:spacing w:after="80"/>
      </w:pPr>
      <w:r>
        <w:rPr>
          <w:b w:val="0"/>
          <w:i w:val="0"/>
          <w:smallCaps w:val="0"/>
          <w:strike w:val="0"/>
          <w:u w:val="none"/>
        </w:rPr>
        <w:t xml:space="preserve">Sean M. </w:t>
      </w:r>
      <w:r>
        <w:rPr>
          <w:b/>
          <w:i w:val="0"/>
          <w:smallCaps w:val="0"/>
          <w:strike w:val="0"/>
          <w:sz w:val="26"/>
          <w:u w:val="none"/>
        </w:rPr>
        <w:t>O’Connor 19</w:t>
      </w:r>
      <w:r>
        <w:rPr>
          <w:b w:val="0"/>
          <w:i w:val="0"/>
          <w:smallCaps w:val="0"/>
          <w:strike w:val="0"/>
          <w:u w:val="none"/>
        </w:rPr>
        <w:t xml:space="preserve">, Boeing International Professor and Founding Director of the Cannabis Law &amp; Policy Project at the University of Washington School of Law, JD from Stanford, MA from ASU, BA from UMass; Erika </w:t>
      </w:r>
      <w:r>
        <w:rPr>
          <w:b w:val="0"/>
          <w:i w:val="0"/>
          <w:smallCaps w:val="0"/>
          <w:strike w:val="0"/>
          <w:u w:val="none"/>
        </w:rPr>
        <w:t>Lietzan</w:t>
      </w:r>
      <w:r>
        <w:rPr>
          <w:b w:val="0"/>
          <w:i w:val="0"/>
          <w:smallCaps w:val="0"/>
          <w:strike w:val="0"/>
          <w:u w:val="none"/>
        </w:rPr>
        <w:t xml:space="preserve">, Associate Professor of Law at the University of Missouri Law School, JD from Duke, MA from UCLA, BA from UNC, February 2019, “The Surprising Reach of FDA Regulation of Cannabis, Even After </w:t>
      </w:r>
      <w:r>
        <w:rPr>
          <w:b w:val="0"/>
          <w:i w:val="0"/>
          <w:smallCaps w:val="0"/>
          <w:strike w:val="0"/>
          <w:u w:val="none"/>
        </w:rPr>
        <w:t>Descheduling</w:t>
      </w:r>
      <w:r>
        <w:rPr>
          <w:b w:val="0"/>
          <w:i w:val="0"/>
          <w:smallCaps w:val="0"/>
          <w:strike w:val="0"/>
          <w:u w:val="none"/>
        </w:rPr>
        <w:t xml:space="preserve">,” </w:t>
      </w:r>
      <w:r>
        <w:rPr>
          <w:b w:val="0"/>
          <w:i/>
          <w:smallCaps w:val="0"/>
          <w:strike w:val="0"/>
          <w:u w:val="none"/>
        </w:rPr>
        <w:t>American University Law Review</w:t>
      </w:r>
      <w:r>
        <w:rPr>
          <w:b w:val="0"/>
          <w:i w:val="0"/>
          <w:smallCaps w:val="0"/>
          <w:strike w:val="0"/>
          <w:u w:val="none"/>
        </w:rPr>
        <w:t>, 68(3), p. 835, Lexis, kav</w:t>
      </w:r>
    </w:p>
    <w:p>
      <w:pPr>
        <w:spacing w:after="60"/>
      </w:pPr>
      <w:r>
        <w:rPr>
          <w:b w:val="0"/>
          <w:i w:val="0"/>
          <w:smallCaps w:val="0"/>
          <w:strike w:val="0"/>
          <w:sz w:val="16"/>
          <w:u w:val="none"/>
        </w:rPr>
        <w:t>Third</w:t>
      </w:r>
      <w:r>
        <w:rPr>
          <w:b w:val="0"/>
          <w:i w:val="0"/>
          <w:smallCaps w:val="0"/>
          <w:strike w:val="0"/>
          <w:sz w:val="16"/>
          <w:u w:val="none"/>
        </w:rPr>
        <w:t xml:space="preserve">, </w:t>
      </w:r>
      <w:r>
        <w:rPr>
          <w:b w:val="0"/>
          <w:i w:val="0"/>
          <w:smallCaps w:val="0"/>
          <w:strike w:val="0"/>
          <w:sz w:val="22"/>
          <w:highlight w:val="cyan"/>
          <w:u w:val="single"/>
        </w:rPr>
        <w:t>"</w:t>
      </w:r>
      <w:r>
        <w:rPr>
          <w:b w:val="0"/>
          <w:i w:val="0"/>
          <w:smallCaps w:val="0"/>
          <w:strike w:val="0"/>
          <w:sz w:val="22"/>
          <w:highlight w:val="cyan"/>
          <w:u w:val="single"/>
        </w:rPr>
        <w:t>descheduling</w:t>
      </w:r>
      <w:r>
        <w:rPr>
          <w:b w:val="0"/>
          <w:i w:val="0"/>
          <w:smallCaps w:val="0"/>
          <w:strike w:val="0"/>
          <w:sz w:val="22"/>
          <w:highlight w:val="cyan"/>
          <w:u w:val="single"/>
        </w:rPr>
        <w:t xml:space="preserve">" means </w:t>
      </w:r>
      <w:r>
        <w:rPr>
          <w:b/>
          <w:i w:val="0"/>
          <w:smallCaps w:val="0"/>
          <w:strike w:val="0"/>
          <w:sz w:val="22"/>
          <w:highlight w:val="cyan"/>
          <w:u w:val="single"/>
        </w:rPr>
        <w:t>congressional amendment</w:t>
      </w:r>
      <w:r>
        <w:rPr>
          <w:b w:val="0"/>
          <w:i w:val="0"/>
          <w:smallCaps w:val="0"/>
          <w:strike w:val="0"/>
          <w:sz w:val="22"/>
          <w:highlight w:val="cyan"/>
          <w:u w:val="single"/>
        </w:rPr>
        <w:t xml:space="preserve"> of the CSA to remove "marihuana"</w:t>
      </w:r>
      <w:r>
        <w:rPr>
          <w:b w:val="0"/>
          <w:i w:val="0"/>
          <w:smallCaps w:val="0"/>
          <w:strike w:val="0"/>
          <w:sz w:val="16"/>
          <w:u w:val="none"/>
        </w:rPr>
        <w:t>--or at least some parts of that broad statutory term--</w:t>
      </w:r>
      <w:r>
        <w:rPr>
          <w:b w:val="0"/>
          <w:i w:val="0"/>
          <w:smallCaps w:val="0"/>
          <w:strike w:val="0"/>
          <w:sz w:val="22"/>
          <w:highlight w:val="cyan"/>
          <w:u w:val="single"/>
        </w:rPr>
        <w:t xml:space="preserve">from any </w:t>
      </w:r>
      <w:r>
        <w:rPr>
          <w:b w:val="0"/>
          <w:i w:val="0"/>
          <w:smallCaps w:val="0"/>
          <w:strike w:val="0"/>
          <w:sz w:val="22"/>
          <w:u w:val="single"/>
        </w:rPr>
        <w:t>of</w:t>
      </w:r>
      <w:r>
        <w:rPr>
          <w:b w:val="0"/>
          <w:i w:val="0"/>
          <w:smallCaps w:val="0"/>
          <w:strike w:val="0"/>
          <w:sz w:val="22"/>
          <w:u w:val="single"/>
        </w:rPr>
        <w:t xml:space="preserve"> the </w:t>
      </w:r>
      <w:r>
        <w:rPr>
          <w:b/>
          <w:i w:val="0"/>
          <w:smallCaps w:val="0"/>
          <w:strike w:val="0"/>
          <w:sz w:val="22"/>
          <w:highlight w:val="cyan"/>
          <w:u w:val="single"/>
        </w:rPr>
        <w:t>restricted Schedules</w:t>
      </w:r>
      <w:r>
        <w:rPr>
          <w:b w:val="0"/>
          <w:i w:val="0"/>
          <w:smallCaps w:val="0"/>
          <w:strike w:val="0"/>
          <w:sz w:val="22"/>
          <w:highlight w:val="cyan"/>
          <w:u w:val="single"/>
        </w:rPr>
        <w:t xml:space="preserve"> of controlled substances.</w:t>
      </w:r>
      <w:r>
        <w:rPr>
          <w:b w:val="0"/>
          <w:i w:val="0"/>
          <w:smallCaps w:val="0"/>
          <w:strike w:val="0"/>
          <w:sz w:val="16"/>
          <w:u w:val="none"/>
        </w:rPr>
        <w:t xml:space="preserve"> </w:t>
      </w:r>
      <w:r>
        <w:rPr>
          <w:b w:val="0"/>
          <w:i w:val="0"/>
          <w:smallCaps w:val="0"/>
          <w:strike w:val="0"/>
          <w:sz w:val="16"/>
          <w:u w:val="none"/>
        </w:rPr>
        <w:t>Descheduling</w:t>
      </w:r>
      <w:r>
        <w:rPr>
          <w:b w:val="0"/>
          <w:i w:val="0"/>
          <w:smallCaps w:val="0"/>
          <w:strike w:val="0"/>
          <w:sz w:val="16"/>
          <w:u w:val="none"/>
        </w:rPr>
        <w:t xml:space="preserve"> should also include DEA action to remove medically relevant components of cannabis, such as THC and CBD, as well as </w:t>
      </w:r>
      <w:r>
        <w:rPr>
          <w:b w:val="0"/>
          <w:i w:val="0"/>
          <w:smallCaps w:val="0"/>
          <w:strike w:val="0"/>
          <w:sz w:val="16"/>
          <w:u w:val="none"/>
        </w:rPr>
        <w:t>synthetically-produced</w:t>
      </w:r>
      <w:r>
        <w:rPr>
          <w:b w:val="0"/>
          <w:i w:val="0"/>
          <w:smallCaps w:val="0"/>
          <w:strike w:val="0"/>
          <w:sz w:val="16"/>
          <w:u w:val="none"/>
        </w:rPr>
        <w:t xml:space="preserve"> analogues, that it has placed in any of the controlled substances Schedules under its statutory authority granted under the CSA. </w:t>
      </w:r>
      <w:r>
        <w:rPr>
          <w:b w:val="0"/>
          <w:i w:val="0"/>
          <w:smallCaps w:val="0"/>
          <w:strike w:val="0"/>
          <w:sz w:val="22"/>
          <w:highlight w:val="cyan"/>
          <w:u w:val="single"/>
        </w:rPr>
        <w:t xml:space="preserve">Full </w:t>
      </w:r>
      <w:r>
        <w:rPr>
          <w:b w:val="0"/>
          <w:i w:val="0"/>
          <w:smallCaps w:val="0"/>
          <w:strike w:val="0"/>
          <w:sz w:val="22"/>
          <w:highlight w:val="cyan"/>
          <w:u w:val="single"/>
        </w:rPr>
        <w:t>descheduling</w:t>
      </w:r>
      <w:r>
        <w:rPr>
          <w:b w:val="0"/>
          <w:i w:val="0"/>
          <w:smallCaps w:val="0"/>
          <w:strike w:val="0"/>
          <w:sz w:val="22"/>
          <w:u w:val="single"/>
        </w:rPr>
        <w:t xml:space="preserve"> would mean that (medical) cannabis </w:t>
      </w:r>
      <w:r>
        <w:rPr>
          <w:b w:val="0"/>
          <w:i w:val="0"/>
          <w:smallCaps w:val="0"/>
          <w:strike w:val="0"/>
          <w:sz w:val="22"/>
          <w:highlight w:val="cyan"/>
          <w:u w:val="single"/>
        </w:rPr>
        <w:t xml:space="preserve">is </w:t>
      </w:r>
      <w:r>
        <w:rPr>
          <w:b/>
          <w:i w:val="0"/>
          <w:smallCaps w:val="0"/>
          <w:strike w:val="0"/>
          <w:sz w:val="22"/>
          <w:highlight w:val="cyan"/>
          <w:u w:val="single"/>
        </w:rPr>
        <w:t>no longer</w:t>
      </w:r>
      <w:r>
        <w:rPr>
          <w:b w:val="0"/>
          <w:i w:val="0"/>
          <w:smallCaps w:val="0"/>
          <w:strike w:val="0"/>
          <w:sz w:val="22"/>
          <w:u w:val="single"/>
        </w:rPr>
        <w:t xml:space="preserve"> a </w:t>
      </w:r>
      <w:r>
        <w:rPr>
          <w:b/>
          <w:i w:val="0"/>
          <w:smallCaps w:val="0"/>
          <w:strike w:val="0"/>
          <w:sz w:val="22"/>
          <w:u w:val="single"/>
        </w:rPr>
        <w:t xml:space="preserve">controlled </w:t>
      </w:r>
      <w:r>
        <w:rPr>
          <w:b/>
          <w:i w:val="0"/>
          <w:smallCaps w:val="0"/>
          <w:strike w:val="0"/>
          <w:sz w:val="22"/>
          <w:highlight w:val="cyan"/>
          <w:u w:val="single"/>
        </w:rPr>
        <w:t>substance</w:t>
      </w:r>
      <w:r>
        <w:rPr>
          <w:b w:val="0"/>
          <w:i w:val="0"/>
          <w:smallCaps w:val="0"/>
          <w:strike w:val="0"/>
          <w:sz w:val="22"/>
          <w:highlight w:val="cyan"/>
          <w:u w:val="single"/>
        </w:rPr>
        <w:t xml:space="preserve"> at any level</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