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Empirically proven---all other actions are </w:t>
      </w:r>
      <w:r>
        <w:rPr>
          <w:b/>
          <w:i w:val="0"/>
          <w:smallCaps w:val="0"/>
          <w:strike w:val="0"/>
          <w:sz w:val="26"/>
          <w:u w:val="single"/>
        </w:rPr>
        <w:t>effects</w:t>
      </w:r>
      <w:r>
        <w:rPr>
          <w:b/>
          <w:i w:val="0"/>
          <w:smallCaps w:val="0"/>
          <w:strike w:val="0"/>
          <w:sz w:val="26"/>
          <w:u w:val="none"/>
        </w:rPr>
        <w:t xml:space="preserve"> </w:t>
      </w:r>
      <w:r>
        <w:rPr>
          <w:b/>
          <w:i w:val="0"/>
          <w:smallCaps w:val="0"/>
          <w:strike w:val="0"/>
          <w:sz w:val="26"/>
          <w:u w:val="none"/>
        </w:rPr>
        <w:t>not mandates</w:t>
      </w:r>
      <w:r>
        <w:rPr>
          <w:b/>
          <w:i w:val="0"/>
          <w:smallCaps w:val="0"/>
          <w:strike w:val="0"/>
          <w:sz w:val="26"/>
          <w:u w:val="none"/>
        </w:rPr>
        <w:t xml:space="preserve">. </w:t>
      </w:r>
    </w:p>
    <w:p>
      <w:pPr>
        <w:spacing w:after="80"/>
      </w:pPr>
      <w:r>
        <w:rPr>
          <w:b w:val="0"/>
          <w:i w:val="0"/>
          <w:smallCaps w:val="0"/>
          <w:strike w:val="0"/>
          <w:u w:val="none"/>
        </w:rPr>
        <w:t xml:space="preserve">Dr. Amy </w:t>
      </w:r>
      <w:r>
        <w:rPr>
          <w:b/>
          <w:i w:val="0"/>
          <w:smallCaps w:val="0"/>
          <w:strike w:val="0"/>
          <w:sz w:val="26"/>
          <w:u w:val="none"/>
        </w:rPr>
        <w:t>Abernethy 19</w:t>
      </w:r>
      <w:r>
        <w:rPr>
          <w:b w:val="0"/>
          <w:i w:val="0"/>
          <w:smallCaps w:val="0"/>
          <w:strike w:val="0"/>
          <w:u w:val="none"/>
        </w:rPr>
        <w:t xml:space="preserve">, Principal Deputy Commissioner of the FDA, testimony before the United States Senate, 7/25/2019, “Hemp Production and the 2018 Farm Bill,” </w:t>
      </w:r>
      <w:r>
        <w:rPr>
          <w:b w:val="0"/>
          <w:i w:val="0"/>
          <w:smallCaps w:val="0"/>
          <w:strike w:val="0"/>
          <w:u w:val="none"/>
        </w:rPr>
        <w:t>https://www.fda.gov/news-events/congressional-testimony/hemp-production-and-2018-farm-bill-07252019</w:t>
      </w:r>
      <w:r>
        <w:rPr>
          <w:b w:val="0"/>
          <w:i w:val="0"/>
          <w:smallCaps w:val="0"/>
          <w:strike w:val="0"/>
          <w:u w:val="none"/>
        </w:rPr>
        <w:t>, kav</w:t>
      </w:r>
    </w:p>
    <w:p>
      <w:pPr>
        <w:spacing w:after="60"/>
      </w:pPr>
      <w:r>
        <w:rPr>
          <w:b w:val="0"/>
          <w:i w:val="0"/>
          <w:smallCaps w:val="0"/>
          <w:strike w:val="0"/>
          <w:sz w:val="16"/>
          <w:u w:val="none"/>
        </w:rPr>
        <w:t xml:space="preserve">In December of 2018, the </w:t>
      </w:r>
      <w:r>
        <w:rPr>
          <w:b w:val="0"/>
          <w:i w:val="0"/>
          <w:smallCaps w:val="0"/>
          <w:strike w:val="0"/>
          <w:sz w:val="22"/>
          <w:highlight w:val="cyan"/>
          <w:u w:val="single"/>
        </w:rPr>
        <w:t>2018 Farm Bill</w:t>
      </w:r>
      <w:r>
        <w:rPr>
          <w:b w:val="0"/>
          <w:i w:val="0"/>
          <w:smallCaps w:val="0"/>
          <w:strike w:val="0"/>
          <w:sz w:val="16"/>
          <w:u w:val="none"/>
        </w:rPr>
        <w:t xml:space="preserve"> was signed into law. It </w:t>
      </w:r>
      <w:r>
        <w:rPr>
          <w:b w:val="0"/>
          <w:i w:val="0"/>
          <w:smallCaps w:val="0"/>
          <w:strike w:val="0"/>
          <w:sz w:val="22"/>
          <w:highlight w:val="cyan"/>
          <w:u w:val="single"/>
        </w:rPr>
        <w:t xml:space="preserve">removed </w:t>
      </w:r>
      <w:r>
        <w:rPr>
          <w:b/>
          <w:i w:val="0"/>
          <w:smallCaps w:val="0"/>
          <w:strike w:val="0"/>
          <w:sz w:val="22"/>
          <w:highlight w:val="cyan"/>
          <w:u w:val="single"/>
        </w:rPr>
        <w:t>hemp</w:t>
      </w:r>
      <w:r>
        <w:rPr>
          <w:b w:val="0"/>
          <w:i w:val="0"/>
          <w:smallCaps w:val="0"/>
          <w:strike w:val="0"/>
          <w:sz w:val="16"/>
          <w:u w:val="none"/>
        </w:rPr>
        <w:t xml:space="preserve">, defined as cannabis (Cannabis sativa L.) and derivatives of cannabis with extremely low concentrations of the psychoactive compound delta-9-tetrahydrocannabinol (THC) (no more than 0.3 percent THC on a dry weight basis), </w:t>
      </w:r>
      <w:r>
        <w:rPr>
          <w:b w:val="0"/>
          <w:i w:val="0"/>
          <w:smallCaps w:val="0"/>
          <w:strike w:val="0"/>
          <w:sz w:val="22"/>
          <w:highlight w:val="cyan"/>
          <w:u w:val="single"/>
        </w:rPr>
        <w:t xml:space="preserve">from the </w:t>
      </w:r>
      <w:r>
        <w:rPr>
          <w:b/>
          <w:i w:val="0"/>
          <w:smallCaps w:val="0"/>
          <w:strike w:val="0"/>
          <w:sz w:val="22"/>
          <w:highlight w:val="cyan"/>
          <w:u w:val="single"/>
        </w:rPr>
        <w:t>definition</w:t>
      </w:r>
      <w:r>
        <w:rPr>
          <w:b w:val="0"/>
          <w:i w:val="0"/>
          <w:smallCaps w:val="0"/>
          <w:strike w:val="0"/>
          <w:sz w:val="22"/>
          <w:highlight w:val="cyan"/>
          <w:u w:val="single"/>
        </w:rPr>
        <w:t xml:space="preserve"> of marijuana in the</w:t>
      </w:r>
      <w:r>
        <w:rPr>
          <w:b w:val="0"/>
          <w:i w:val="0"/>
          <w:smallCaps w:val="0"/>
          <w:strike w:val="0"/>
          <w:sz w:val="22"/>
          <w:u w:val="single"/>
        </w:rPr>
        <w:t xml:space="preserve"> Controlled Substances Act (</w:t>
      </w:r>
      <w:r>
        <w:rPr>
          <w:b w:val="0"/>
          <w:i w:val="0"/>
          <w:smallCaps w:val="0"/>
          <w:strike w:val="0"/>
          <w:sz w:val="22"/>
          <w:highlight w:val="cyan"/>
          <w:u w:val="single"/>
        </w:rPr>
        <w:t>CSA</w:t>
      </w:r>
      <w:r>
        <w:rPr>
          <w:b w:val="0"/>
          <w:i w:val="0"/>
          <w:smallCaps w:val="0"/>
          <w:strike w:val="0"/>
          <w:sz w:val="22"/>
          <w:u w:val="single"/>
        </w:rPr>
        <w:t>).</w:t>
      </w:r>
    </w:p>
    <w:p>
      <w:pPr>
        <w:spacing w:after="60"/>
      </w:pPr>
      <w:r>
        <w:rPr>
          <w:b w:val="0"/>
          <w:i w:val="0"/>
          <w:smallCaps w:val="0"/>
          <w:strike w:val="0"/>
          <w:sz w:val="16"/>
          <w:u w:val="none"/>
        </w:rPr>
        <w:t xml:space="preserve">The 2018 Farm Bill explicitly preserved FDA’s authorities over hemp products. Therefore, </w:t>
      </w:r>
      <w:r>
        <w:rPr>
          <w:b w:val="0"/>
          <w:i w:val="0"/>
          <w:smallCaps w:val="0"/>
          <w:strike w:val="0"/>
          <w:sz w:val="22"/>
          <w:u w:val="single"/>
        </w:rPr>
        <w:t xml:space="preserve">hemp </w:t>
      </w:r>
      <w:r>
        <w:rPr>
          <w:b w:val="0"/>
          <w:i w:val="0"/>
          <w:smallCaps w:val="0"/>
          <w:strike w:val="0"/>
          <w:sz w:val="22"/>
          <w:highlight w:val="cyan"/>
          <w:u w:val="single"/>
        </w:rPr>
        <w:t xml:space="preserve">products must meet </w:t>
      </w:r>
      <w:r>
        <w:rPr>
          <w:b/>
          <w:i w:val="0"/>
          <w:smallCaps w:val="0"/>
          <w:strike w:val="0"/>
          <w:sz w:val="22"/>
          <w:highlight w:val="cyan"/>
          <w:u w:val="single"/>
        </w:rPr>
        <w:t>any</w:t>
      </w:r>
      <w:r>
        <w:rPr>
          <w:b/>
          <w:i w:val="0"/>
          <w:smallCaps w:val="0"/>
          <w:strike w:val="0"/>
          <w:sz w:val="22"/>
          <w:u w:val="single"/>
        </w:rPr>
        <w:t xml:space="preserve"> applicable </w:t>
      </w:r>
      <w:r>
        <w:rPr>
          <w:b/>
          <w:i w:val="0"/>
          <w:smallCaps w:val="0"/>
          <w:strike w:val="0"/>
          <w:sz w:val="22"/>
          <w:highlight w:val="cyan"/>
          <w:u w:val="single"/>
        </w:rPr>
        <w:t>FDA requirement</w:t>
      </w:r>
      <w:r>
        <w:rPr>
          <w:b/>
          <w:i w:val="0"/>
          <w:smallCaps w:val="0"/>
          <w:strike w:val="0"/>
          <w:sz w:val="22"/>
          <w:u w:val="single"/>
        </w:rPr>
        <w:t>s</w:t>
      </w:r>
      <w:r>
        <w:rPr>
          <w:b w:val="0"/>
          <w:i w:val="0"/>
          <w:smallCaps w:val="0"/>
          <w:strike w:val="0"/>
          <w:sz w:val="22"/>
          <w:u w:val="single"/>
        </w:rPr>
        <w:t xml:space="preserve"> and standards, </w:t>
      </w:r>
      <w:r>
        <w:rPr>
          <w:b w:val="0"/>
          <w:i w:val="0"/>
          <w:smallCaps w:val="0"/>
          <w:strike w:val="0"/>
          <w:sz w:val="22"/>
          <w:highlight w:val="cyan"/>
          <w:u w:val="single"/>
        </w:rPr>
        <w:t>just like any other</w:t>
      </w:r>
      <w:r>
        <w:rPr>
          <w:b w:val="0"/>
          <w:i w:val="0"/>
          <w:smallCaps w:val="0"/>
          <w:strike w:val="0"/>
          <w:sz w:val="22"/>
          <w:u w:val="single"/>
        </w:rPr>
        <w:t xml:space="preserve"> FDA-regulated </w:t>
      </w:r>
      <w:r>
        <w:rPr>
          <w:b w:val="0"/>
          <w:i w:val="0"/>
          <w:smallCaps w:val="0"/>
          <w:strike w:val="0"/>
          <w:sz w:val="22"/>
          <w:highlight w:val="cyan"/>
          <w:u w:val="single"/>
        </w:rPr>
        <w:t>product</w:t>
      </w:r>
      <w:r>
        <w:rPr>
          <w:b w:val="0"/>
          <w:i w:val="0"/>
          <w:smallCaps w:val="0"/>
          <w:strike w:val="0"/>
          <w:sz w:val="22"/>
          <w:u w:val="single"/>
        </w:rPr>
        <w:t>.</w:t>
      </w:r>
      <w:r>
        <w:rPr>
          <w:b w:val="0"/>
          <w:i w:val="0"/>
          <w:smallCaps w:val="0"/>
          <w:strike w:val="0"/>
          <w:sz w:val="16"/>
          <w:u w:val="none"/>
        </w:rPr>
        <w:t xml:space="preserve"> For example, FDA’s existing authorities over foods, dietary supplements, human and veterinary drugs, and cosmetics apply to hemp products to the extent such hemp products fall within those categories. These safeguards help ensure that Americans have access to safe and accurately labeled hemp products, and, in the case of drugs, that patients can depend on the effectiveness of these products.</w:t>
      </w:r>
    </w:p>
    <w:p>
      <w:pPr>
        <w:spacing w:after="60"/>
      </w:pPr>
      <w:r>
        <w:rPr>
          <w:b w:val="0"/>
          <w:i w:val="0"/>
          <w:smallCaps w:val="0"/>
          <w:strike w:val="0"/>
          <w:sz w:val="16"/>
          <w:u w:val="none"/>
        </w:rPr>
        <w:t xml:space="preserve">In late 2018, FDA advanced three hemp seed derived food products through the Agency’s Generally Recognized as Safe (GRAS) process.1 Hemp seeds do not naturally contain cannabidiol (CBD) or THC, which are cannabinoid compounds that are found in other parts of the cannabis plant. The hemp seed products – hulled hemp seed, hemp seed protein powder, and hemp seed oil – can be legally used in the U.S. food supply. </w:t>
      </w:r>
      <w:r>
        <w:rPr>
          <w:b w:val="0"/>
          <w:i w:val="0"/>
          <w:smallCaps w:val="0"/>
          <w:strike w:val="0"/>
          <w:sz w:val="22"/>
          <w:u w:val="single"/>
        </w:rPr>
        <w:t xml:space="preserve">Any food products made with these </w:t>
      </w:r>
      <w:r>
        <w:rPr>
          <w:b/>
          <w:i w:val="0"/>
          <w:smallCaps w:val="0"/>
          <w:strike w:val="0"/>
          <w:sz w:val="22"/>
          <w:u w:val="single"/>
        </w:rPr>
        <w:t>hemp seed ingredients</w:t>
      </w:r>
      <w:r>
        <w:rPr>
          <w:b w:val="0"/>
          <w:i w:val="0"/>
          <w:smallCaps w:val="0"/>
          <w:strike w:val="0"/>
          <w:sz w:val="22"/>
          <w:u w:val="single"/>
        </w:rPr>
        <w:t xml:space="preserve"> </w:t>
      </w:r>
      <w:r>
        <w:rPr>
          <w:b w:val="0"/>
          <w:i w:val="0"/>
          <w:smallCaps w:val="0"/>
          <w:strike w:val="0"/>
          <w:sz w:val="22"/>
          <w:highlight w:val="cyan"/>
          <w:u w:val="single"/>
        </w:rPr>
        <w:t xml:space="preserve">are subject to the </w:t>
      </w:r>
      <w:r>
        <w:rPr>
          <w:b/>
          <w:i w:val="0"/>
          <w:smallCaps w:val="0"/>
          <w:strike w:val="0"/>
          <w:sz w:val="22"/>
          <w:highlight w:val="cyan"/>
          <w:u w:val="single"/>
        </w:rPr>
        <w:t>same FDA requirements</w:t>
      </w:r>
      <w:r>
        <w:rPr>
          <w:b w:val="0"/>
          <w:i w:val="0"/>
          <w:smallCaps w:val="0"/>
          <w:strike w:val="0"/>
          <w:sz w:val="22"/>
          <w:u w:val="single"/>
        </w:rPr>
        <w:t xml:space="preserve"> as any other food</w:t>
      </w:r>
      <w:r>
        <w:rPr>
          <w:b w:val="0"/>
          <w:i w:val="0"/>
          <w:smallCaps w:val="0"/>
          <w:strike w:val="0"/>
          <w:sz w:val="16"/>
          <w:u w:val="none"/>
        </w:rPr>
        <w:t>, such as those related to ingredient and nutrition labeling, as well as the risk-based, prevention focused Food Safety Modernization Act (PL 111-353) safeguards.2</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