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2018 farm bill was </w:t>
      </w:r>
      <w:r>
        <w:rPr>
          <w:b/>
          <w:i w:val="0"/>
          <w:smallCaps w:val="0"/>
          <w:strike w:val="0"/>
          <w:sz w:val="26"/>
          <w:u w:val="none"/>
        </w:rPr>
        <w:t>legalization</w:t>
      </w:r>
      <w:r>
        <w:rPr>
          <w:b/>
          <w:i w:val="0"/>
          <w:smallCaps w:val="0"/>
          <w:strike w:val="0"/>
          <w:sz w:val="26"/>
          <w:u w:val="none"/>
        </w:rPr>
        <w:t xml:space="preserve"> </w:t>
      </w:r>
      <w:r>
        <w:rPr>
          <w:b/>
          <w:i w:val="0"/>
          <w:smallCaps w:val="0"/>
          <w:strike w:val="0"/>
          <w:sz w:val="26"/>
          <w:u w:val="single"/>
        </w:rPr>
        <w:t>via</w:t>
      </w:r>
      <w:r>
        <w:rPr>
          <w:b/>
          <w:i w:val="0"/>
          <w:smallCaps w:val="0"/>
          <w:strike w:val="0"/>
          <w:sz w:val="26"/>
          <w:u w:val="none"/>
        </w:rPr>
        <w:t xml:space="preserve"> changing the definitions of hemp. </w:t>
      </w:r>
    </w:p>
    <w:p>
      <w:pPr>
        <w:spacing w:after="80"/>
      </w:pPr>
      <w:r>
        <w:rPr>
          <w:b w:val="0"/>
          <w:i w:val="0"/>
          <w:smallCaps w:val="0"/>
          <w:strike w:val="0"/>
          <w:u w:val="none"/>
        </w:rPr>
        <w:t xml:space="preserve">Sean M. </w:t>
      </w:r>
      <w:r>
        <w:rPr>
          <w:b/>
          <w:i w:val="0"/>
          <w:smallCaps w:val="0"/>
          <w:strike w:val="0"/>
          <w:sz w:val="26"/>
          <w:u w:val="none"/>
        </w:rPr>
        <w:t>O’Connor 19</w:t>
      </w:r>
      <w:r>
        <w:rPr>
          <w:b w:val="0"/>
          <w:i w:val="0"/>
          <w:smallCaps w:val="0"/>
          <w:strike w:val="0"/>
          <w:u w:val="none"/>
        </w:rPr>
        <w:t xml:space="preserve">, Boeing International Professor and Founding Director of the Cannabis Law &amp; Policy Project at the University of Washington School of Law, JD from Stanford, MA from ASU, BA from UMass; Erika </w:t>
      </w:r>
      <w:r>
        <w:rPr>
          <w:b w:val="0"/>
          <w:i w:val="0"/>
          <w:smallCaps w:val="0"/>
          <w:strike w:val="0"/>
          <w:u w:val="none"/>
        </w:rPr>
        <w:t>Lietzan</w:t>
      </w:r>
      <w:r>
        <w:rPr>
          <w:b w:val="0"/>
          <w:i w:val="0"/>
          <w:smallCaps w:val="0"/>
          <w:strike w:val="0"/>
          <w:u w:val="none"/>
        </w:rPr>
        <w:t xml:space="preserve">, Associate Professor of Law at the University of Missouri Law School, JD from Duke, MA from UCLA, BA from UNC, February 2019, “The Surprising Reach of FDA Regulation of Cannabis, Even After </w:t>
      </w:r>
      <w:r>
        <w:rPr>
          <w:b w:val="0"/>
          <w:i w:val="0"/>
          <w:smallCaps w:val="0"/>
          <w:strike w:val="0"/>
          <w:u w:val="none"/>
        </w:rPr>
        <w:t>Descheduling</w:t>
      </w:r>
      <w:r>
        <w:rPr>
          <w:b w:val="0"/>
          <w:i w:val="0"/>
          <w:smallCaps w:val="0"/>
          <w:strike w:val="0"/>
          <w:u w:val="none"/>
        </w:rPr>
        <w:t xml:space="preserve">,” </w:t>
      </w:r>
      <w:r>
        <w:rPr>
          <w:b w:val="0"/>
          <w:i/>
          <w:smallCaps w:val="0"/>
          <w:strike w:val="0"/>
          <w:u w:val="none"/>
        </w:rPr>
        <w:t>American University Law Review</w:t>
      </w:r>
      <w:r>
        <w:rPr>
          <w:b w:val="0"/>
          <w:i w:val="0"/>
          <w:smallCaps w:val="0"/>
          <w:strike w:val="0"/>
          <w:u w:val="none"/>
        </w:rPr>
        <w:t>, 68(3), p. 858, Lexis, kav</w:t>
      </w:r>
    </w:p>
    <w:p>
      <w:pPr>
        <w:spacing w:after="60"/>
      </w:pPr>
      <w:r>
        <w:rPr>
          <w:b w:val="0"/>
          <w:i w:val="0"/>
          <w:smallCaps w:val="0"/>
          <w:strike w:val="0"/>
          <w:sz w:val="22"/>
          <w:u w:val="single"/>
        </w:rPr>
        <w:t xml:space="preserve">In a </w:t>
      </w:r>
      <w:r>
        <w:rPr>
          <w:b/>
          <w:i w:val="0"/>
          <w:smallCaps w:val="0"/>
          <w:strike w:val="0"/>
          <w:sz w:val="22"/>
          <w:u w:val="single"/>
        </w:rPr>
        <w:t>much-publicized development</w:t>
      </w:r>
      <w:r>
        <w:rPr>
          <w:b w:val="0"/>
          <w:i w:val="0"/>
          <w:smallCaps w:val="0"/>
          <w:strike w:val="0"/>
          <w:sz w:val="22"/>
          <w:u w:val="single"/>
        </w:rPr>
        <w:t xml:space="preserve">, </w:t>
      </w:r>
      <w:r>
        <w:rPr>
          <w:b w:val="0"/>
          <w:i w:val="0"/>
          <w:smallCaps w:val="0"/>
          <w:strike w:val="0"/>
          <w:sz w:val="22"/>
          <w:highlight w:val="cyan"/>
          <w:u w:val="single"/>
        </w:rPr>
        <w:t xml:space="preserve">Congress "legalized" hemp in 2018 by changing the </w:t>
      </w:r>
      <w:r>
        <w:rPr>
          <w:b/>
          <w:i w:val="0"/>
          <w:smallCaps w:val="0"/>
          <w:strike w:val="0"/>
          <w:sz w:val="22"/>
          <w:highlight w:val="cyan"/>
          <w:u w:val="single"/>
        </w:rPr>
        <w:t>definitions</w:t>
      </w:r>
      <w:r>
        <w:rPr>
          <w:b w:val="0"/>
          <w:i w:val="0"/>
          <w:smallCaps w:val="0"/>
          <w:strike w:val="0"/>
          <w:sz w:val="22"/>
          <w:highlight w:val="cyan"/>
          <w:u w:val="single"/>
        </w:rPr>
        <w:t xml:space="preserve"> of marihuana</w:t>
      </w:r>
      <w:r>
        <w:rPr>
          <w:b w:val="0"/>
          <w:i w:val="0"/>
          <w:smallCaps w:val="0"/>
          <w:strike w:val="0"/>
          <w:sz w:val="22"/>
          <w:u w:val="single"/>
        </w:rPr>
        <w:t xml:space="preserve"> and THC in the CSA</w:t>
      </w:r>
      <w:r>
        <w:rPr>
          <w:b w:val="0"/>
          <w:i w:val="0"/>
          <w:smallCaps w:val="0"/>
          <w:strike w:val="0"/>
          <w:sz w:val="16"/>
          <w:u w:val="none"/>
        </w:rPr>
        <w:t xml:space="preserve">. 226 First, this reveals the dubious position of those who assert hemp as some kind of separate cousin species to cannabis. The Agriculture Improvement Act 227 effectively defines hemp as Cannabis sativa with THC concentration of not more than 0.3 percent on a dry weight basis. 228 Second, the </w:t>
      </w:r>
      <w:r>
        <w:rPr>
          <w:b w:val="0"/>
          <w:i w:val="0"/>
          <w:smallCaps w:val="0"/>
          <w:strike w:val="0"/>
          <w:sz w:val="16"/>
          <w:u w:val="none"/>
        </w:rPr>
        <w:t>descheduling</w:t>
      </w:r>
      <w:r>
        <w:rPr>
          <w:b w:val="0"/>
          <w:i w:val="0"/>
          <w:smallCaps w:val="0"/>
          <w:strike w:val="0"/>
          <w:sz w:val="16"/>
          <w:u w:val="none"/>
        </w:rPr>
        <w:t xml:space="preserve"> of "hemp" and Commissioner Gottlieb's response underscore this Article's thesis that </w:t>
      </w:r>
      <w:r>
        <w:rPr>
          <w:b w:val="0"/>
          <w:i w:val="0"/>
          <w:smallCaps w:val="0"/>
          <w:strike w:val="0"/>
          <w:sz w:val="16"/>
          <w:u w:val="none"/>
        </w:rPr>
        <w:t>descheduling</w:t>
      </w:r>
      <w:r>
        <w:rPr>
          <w:b w:val="0"/>
          <w:i w:val="0"/>
          <w:smallCaps w:val="0"/>
          <w:strike w:val="0"/>
          <w:sz w:val="16"/>
          <w:u w:val="none"/>
        </w:rPr>
        <w:t xml:space="preserve"> cannabis will not result in the free production, marketing, and distribution that proponents have claimed. Instead, the FDA will continue to regulate any product containing ingredients such as TH Cand CBD that are themselves currently regulated as drugs, as well as any medical claims made by a producer of any products, regardless of whether those products or their ingredients are scheduled under the CSA.</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