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Say no. There’s </w:t>
      </w:r>
      <w:r>
        <w:rPr>
          <w:b/>
          <w:i w:val="0"/>
          <w:smallCaps w:val="0"/>
          <w:strike w:val="0"/>
          <w:sz w:val="26"/>
          <w:u w:val="single"/>
        </w:rPr>
        <w:t>no</w:t>
      </w:r>
      <w:r>
        <w:rPr>
          <w:b/>
          <w:i w:val="0"/>
          <w:smallCaps w:val="0"/>
          <w:strike w:val="0"/>
          <w:sz w:val="26"/>
          <w:u w:val="none"/>
        </w:rPr>
        <w:t xml:space="preserve"> chance of an amendment getting through </w:t>
      </w:r>
      <w:r>
        <w:rPr>
          <w:b/>
          <w:i w:val="0"/>
          <w:smallCaps w:val="0"/>
          <w:strike w:val="0"/>
          <w:sz w:val="26"/>
          <w:u w:val="none"/>
        </w:rPr>
        <w:t xml:space="preserve">in the </w:t>
      </w:r>
      <w:r>
        <w:rPr>
          <w:b/>
          <w:i w:val="0"/>
          <w:smallCaps w:val="0"/>
          <w:strike w:val="0"/>
          <w:sz w:val="26"/>
          <w:u w:val="single"/>
        </w:rPr>
        <w:t>near</w:t>
      </w:r>
      <w:r>
        <w:rPr>
          <w:b/>
          <w:i w:val="0"/>
          <w:smallCaps w:val="0"/>
          <w:strike w:val="0"/>
          <w:sz w:val="26"/>
          <w:u w:val="none"/>
        </w:rPr>
        <w:t xml:space="preserve"> future</w:t>
      </w:r>
      <w:r>
        <w:rPr>
          <w:b/>
          <w:i w:val="0"/>
          <w:smallCaps w:val="0"/>
          <w:strike w:val="0"/>
          <w:sz w:val="26"/>
          <w:u w:val="none"/>
        </w:rPr>
        <w:t xml:space="preserve">. </w:t>
      </w:r>
    </w:p>
    <w:p>
      <w:pPr>
        <w:spacing w:after="80"/>
      </w:pPr>
      <w:r>
        <w:rPr>
          <w:b w:val="0"/>
          <w:i w:val="0"/>
          <w:smallCaps w:val="0"/>
          <w:strike w:val="0"/>
          <w:u w:val="none"/>
        </w:rPr>
        <w:t xml:space="preserve">Martin </w:t>
      </w:r>
      <w:r>
        <w:rPr>
          <w:b/>
          <w:i w:val="0"/>
          <w:smallCaps w:val="0"/>
          <w:strike w:val="0"/>
          <w:sz w:val="26"/>
          <w:u w:val="none"/>
        </w:rPr>
        <w:t>Jelsma 18</w:t>
      </w:r>
      <w:r>
        <w:rPr>
          <w:b w:val="0"/>
          <w:i w:val="0"/>
          <w:smallCaps w:val="0"/>
          <w:strike w:val="0"/>
          <w:u w:val="none"/>
        </w:rPr>
        <w:t>, Director</w:t>
      </w:r>
      <w:r>
        <w:rPr>
          <w:b w:val="0"/>
          <w:i w:val="0"/>
          <w:smallCaps w:val="0"/>
          <w:strike w:val="0"/>
          <w:u w:val="none"/>
        </w:rPr>
        <w:t xml:space="preserve"> of the</w:t>
      </w:r>
      <w:r>
        <w:rPr>
          <w:b w:val="0"/>
          <w:i w:val="0"/>
          <w:smallCaps w:val="0"/>
          <w:strike w:val="0"/>
          <w:u w:val="none"/>
        </w:rPr>
        <w:t xml:space="preserve"> Drugs and Democracy </w:t>
      </w:r>
      <w:r>
        <w:rPr>
          <w:b w:val="0"/>
          <w:i w:val="0"/>
          <w:smallCaps w:val="0"/>
          <w:strike w:val="0"/>
          <w:u w:val="none"/>
        </w:rPr>
        <w:t>Programme</w:t>
      </w:r>
      <w:r>
        <w:rPr>
          <w:b w:val="0"/>
          <w:i w:val="0"/>
          <w:smallCaps w:val="0"/>
          <w:strike w:val="0"/>
          <w:u w:val="none"/>
        </w:rPr>
        <w:t>, Transnational Institute</w:t>
      </w:r>
      <w:r>
        <w:rPr>
          <w:b w:val="0"/>
          <w:i w:val="0"/>
          <w:smallCaps w:val="0"/>
          <w:strike w:val="0"/>
          <w:u w:val="none"/>
        </w:rPr>
        <w:t xml:space="preserve">, </w:t>
      </w:r>
      <w:r>
        <w:rPr>
          <w:b w:val="0"/>
          <w:i w:val="0"/>
          <w:smallCaps w:val="0"/>
          <w:strike w:val="0"/>
          <w:u w:val="none"/>
        </w:rPr>
        <w:t xml:space="preserve"> Senior Research Associate</w:t>
      </w:r>
      <w:r>
        <w:rPr>
          <w:b w:val="0"/>
          <w:i w:val="0"/>
          <w:smallCaps w:val="0"/>
          <w:strike w:val="0"/>
          <w:u w:val="none"/>
        </w:rPr>
        <w:t xml:space="preserve"> at the</w:t>
      </w:r>
      <w:r>
        <w:rPr>
          <w:b w:val="0"/>
          <w:i w:val="0"/>
          <w:smallCaps w:val="0"/>
          <w:strike w:val="0"/>
          <w:u w:val="none"/>
        </w:rPr>
        <w:t xml:space="preserve"> Global Drug Policy Observatory (GDPO) at Swansea University; Neil </w:t>
      </w:r>
      <w:r>
        <w:rPr>
          <w:b w:val="0"/>
          <w:i w:val="0"/>
          <w:smallCaps w:val="0"/>
          <w:strike w:val="0"/>
          <w:u w:val="none"/>
        </w:rPr>
        <w:t>Boister</w:t>
      </w:r>
      <w:r>
        <w:rPr>
          <w:b w:val="0"/>
          <w:i w:val="0"/>
          <w:smallCaps w:val="0"/>
          <w:strike w:val="0"/>
          <w:u w:val="none"/>
        </w:rPr>
        <w:t xml:space="preserve">, </w:t>
      </w:r>
      <w:r>
        <w:rPr>
          <w:b w:val="0"/>
          <w:i w:val="0"/>
          <w:smallCaps w:val="0"/>
          <w:strike w:val="0"/>
          <w:u w:val="none"/>
        </w:rPr>
        <w:t>Professor of International Law at the University of Canterbury</w:t>
      </w:r>
      <w:r>
        <w:rPr>
          <w:b w:val="0"/>
          <w:i w:val="0"/>
          <w:smallCaps w:val="0"/>
          <w:strike w:val="0"/>
          <w:u w:val="none"/>
        </w:rPr>
        <w:t xml:space="preserve">; David Bewley-Taylor, </w:t>
      </w:r>
      <w:r>
        <w:rPr>
          <w:b w:val="0"/>
          <w:i w:val="0"/>
          <w:smallCaps w:val="0"/>
          <w:strike w:val="0"/>
          <w:u w:val="none"/>
        </w:rPr>
        <w:t>Professor of International Relations and Public Policy, Director of the GDPO</w:t>
      </w:r>
      <w:r>
        <w:rPr>
          <w:b w:val="0"/>
          <w:i w:val="0"/>
          <w:smallCaps w:val="0"/>
          <w:strike w:val="0"/>
          <w:u w:val="none"/>
        </w:rPr>
        <w:t xml:space="preserve">; Malgosia Fitzmaurice, </w:t>
      </w:r>
      <w:r>
        <w:rPr>
          <w:b w:val="0"/>
          <w:i w:val="0"/>
          <w:smallCaps w:val="0"/>
          <w:strike w:val="0"/>
          <w:u w:val="none"/>
        </w:rPr>
        <w:t>Professor of Public International Law at Queen Mary University of London</w:t>
      </w:r>
      <w:r>
        <w:rPr>
          <w:b w:val="0"/>
          <w:i w:val="0"/>
          <w:smallCaps w:val="0"/>
          <w:strike w:val="0"/>
          <w:u w:val="none"/>
        </w:rPr>
        <w:t xml:space="preserve">; John Walsh, </w:t>
      </w:r>
      <w:r>
        <w:rPr>
          <w:b w:val="0"/>
          <w:i w:val="0"/>
          <w:smallCaps w:val="0"/>
          <w:strike w:val="0"/>
          <w:u w:val="none"/>
        </w:rPr>
        <w:t>Director for Drug Policy and the Andes at the Washington Office on Latin America</w:t>
      </w:r>
      <w:r>
        <w:rPr>
          <w:b w:val="0"/>
          <w:i w:val="0"/>
          <w:smallCaps w:val="0"/>
          <w:strike w:val="0"/>
          <w:u w:val="none"/>
        </w:rPr>
        <w:t xml:space="preserve">, March 2018, “Balancing Treaty Stability and Change: Inter se modification of the UN drug control conventions to facilitate cannabis regulation,” </w:t>
      </w:r>
      <w:r>
        <w:rPr>
          <w:b w:val="0"/>
          <w:i/>
          <w:smallCaps w:val="0"/>
          <w:strike w:val="0"/>
          <w:u w:val="none"/>
        </w:rPr>
        <w:t>WOLA</w:t>
      </w:r>
      <w:r>
        <w:rPr>
          <w:b w:val="0"/>
          <w:i w:val="0"/>
          <w:smallCaps w:val="0"/>
          <w:strike w:val="0"/>
          <w:u w:val="none"/>
        </w:rPr>
        <w:t xml:space="preserve">, Policy Report 7, </w:t>
      </w:r>
      <w:r>
        <w:rPr>
          <w:b w:val="0"/>
          <w:i w:val="0"/>
          <w:smallCaps w:val="0"/>
          <w:strike w:val="0"/>
          <w:u w:val="none"/>
        </w:rPr>
        <w:t>https://www.wola.org/wp-content/uploads/2018/04/FINAL_Updated.pdf</w:t>
      </w:r>
      <w:r>
        <w:rPr>
          <w:b w:val="0"/>
          <w:i w:val="0"/>
          <w:smallCaps w:val="0"/>
          <w:strike w:val="0"/>
          <w:u w:val="none"/>
        </w:rPr>
        <w:t>, kav</w:t>
      </w:r>
    </w:p>
    <w:p>
      <w:pPr>
        <w:spacing w:after="60"/>
      </w:pPr>
      <w:r>
        <w:rPr>
          <w:b w:val="0"/>
          <w:i w:val="0"/>
          <w:smallCaps w:val="0"/>
          <w:strike w:val="0"/>
          <w:sz w:val="22"/>
          <w:highlight w:val="cyan"/>
          <w:u w:val="single"/>
        </w:rPr>
        <w:t>Reaching</w:t>
      </w:r>
      <w:r>
        <w:rPr>
          <w:b w:val="0"/>
          <w:i w:val="0"/>
          <w:smallCaps w:val="0"/>
          <w:strike w:val="0"/>
          <w:sz w:val="22"/>
          <w:u w:val="single"/>
        </w:rPr>
        <w:t xml:space="preserve"> a </w:t>
      </w:r>
      <w:r>
        <w:rPr>
          <w:b/>
          <w:i w:val="0"/>
          <w:smallCaps w:val="0"/>
          <w:strike w:val="0"/>
          <w:sz w:val="22"/>
          <w:u w:val="single"/>
        </w:rPr>
        <w:t xml:space="preserve">new global </w:t>
      </w:r>
      <w:r>
        <w:rPr>
          <w:b/>
          <w:i w:val="0"/>
          <w:smallCaps w:val="0"/>
          <w:strike w:val="0"/>
          <w:sz w:val="22"/>
          <w:highlight w:val="cyan"/>
          <w:u w:val="single"/>
        </w:rPr>
        <w:t>consensus</w:t>
      </w:r>
      <w:r>
        <w:rPr>
          <w:b w:val="0"/>
          <w:i w:val="0"/>
          <w:smallCaps w:val="0"/>
          <w:strike w:val="0"/>
          <w:sz w:val="22"/>
          <w:highlight w:val="cyan"/>
          <w:u w:val="single"/>
        </w:rPr>
        <w:t xml:space="preserve"> to</w:t>
      </w:r>
      <w:r>
        <w:rPr>
          <w:b w:val="0"/>
          <w:i w:val="0"/>
          <w:smallCaps w:val="0"/>
          <w:strike w:val="0"/>
          <w:sz w:val="22"/>
          <w:u w:val="single"/>
        </w:rPr>
        <w:t xml:space="preserve"> revise or </w:t>
      </w:r>
      <w:r>
        <w:rPr>
          <w:b w:val="0"/>
          <w:i w:val="0"/>
          <w:smallCaps w:val="0"/>
          <w:strike w:val="0"/>
          <w:sz w:val="22"/>
          <w:highlight w:val="cyan"/>
          <w:u w:val="single"/>
        </w:rPr>
        <w:t>amend the UN drug control convention</w:t>
      </w:r>
      <w:r>
        <w:rPr>
          <w:b w:val="0"/>
          <w:i w:val="0"/>
          <w:smallCaps w:val="0"/>
          <w:strike w:val="0"/>
          <w:sz w:val="22"/>
          <w:u w:val="single"/>
        </w:rPr>
        <w:t xml:space="preserve">s </w:t>
      </w:r>
      <w:r>
        <w:rPr>
          <w:b w:val="0"/>
          <w:i w:val="0"/>
          <w:smallCaps w:val="0"/>
          <w:strike w:val="0"/>
          <w:sz w:val="22"/>
          <w:u w:val="single"/>
        </w:rPr>
        <w:t xml:space="preserve">in order </w:t>
      </w:r>
      <w:r>
        <w:rPr>
          <w:b w:val="0"/>
          <w:i w:val="0"/>
          <w:smallCaps w:val="0"/>
          <w:strike w:val="0"/>
          <w:sz w:val="22"/>
          <w:highlight w:val="cyan"/>
          <w:u w:val="single"/>
        </w:rPr>
        <w:t>to</w:t>
      </w:r>
      <w:r>
        <w:rPr>
          <w:b w:val="0"/>
          <w:i w:val="0"/>
          <w:smallCaps w:val="0"/>
          <w:strike w:val="0"/>
          <w:sz w:val="22"/>
          <w:highlight w:val="cyan"/>
          <w:u w:val="single"/>
        </w:rPr>
        <w:t xml:space="preserve"> accommodate </w:t>
      </w:r>
      <w:r>
        <w:rPr>
          <w:b/>
          <w:i w:val="0"/>
          <w:smallCaps w:val="0"/>
          <w:strike w:val="0"/>
          <w:sz w:val="22"/>
          <w:highlight w:val="cyan"/>
          <w:u w:val="single"/>
        </w:rPr>
        <w:t>legal</w:t>
      </w:r>
      <w:r>
        <w:rPr>
          <w:b/>
          <w:i w:val="0"/>
          <w:smallCaps w:val="0"/>
          <w:strike w:val="0"/>
          <w:sz w:val="22"/>
          <w:u w:val="single"/>
        </w:rPr>
        <w:t xml:space="preserve">ly regulated </w:t>
      </w:r>
      <w:r>
        <w:rPr>
          <w:b/>
          <w:i w:val="0"/>
          <w:smallCaps w:val="0"/>
          <w:strike w:val="0"/>
          <w:sz w:val="22"/>
          <w:highlight w:val="cyan"/>
          <w:u w:val="single"/>
        </w:rPr>
        <w:t>markets</w:t>
      </w:r>
      <w:r>
        <w:rPr>
          <w:b w:val="0"/>
          <w:i w:val="0"/>
          <w:smallCaps w:val="0"/>
          <w:strike w:val="0"/>
          <w:sz w:val="22"/>
          <w:highlight w:val="cyan"/>
          <w:u w:val="single"/>
        </w:rPr>
        <w:t xml:space="preserve"> for cannabis</w:t>
      </w:r>
      <w:r>
        <w:rPr>
          <w:b w:val="0"/>
          <w:i w:val="0"/>
          <w:smallCaps w:val="0"/>
          <w:strike w:val="0"/>
          <w:sz w:val="22"/>
          <w:u w:val="single"/>
        </w:rPr>
        <w:t xml:space="preserve">, coca or other psychoactive plants and substances controlled under these treaties, </w:t>
      </w:r>
      <w:r>
        <w:rPr>
          <w:b w:val="0"/>
          <w:i w:val="0"/>
          <w:smallCaps w:val="0"/>
          <w:strike w:val="0"/>
          <w:sz w:val="22"/>
          <w:highlight w:val="cyan"/>
          <w:u w:val="single"/>
        </w:rPr>
        <w:t xml:space="preserve">does not appear to be a </w:t>
      </w:r>
      <w:r>
        <w:rPr>
          <w:b/>
          <w:i w:val="0"/>
          <w:smallCaps w:val="0"/>
          <w:strike w:val="0"/>
          <w:sz w:val="22"/>
          <w:highlight w:val="cyan"/>
          <w:u w:val="single"/>
        </w:rPr>
        <w:t xml:space="preserve">viable political scenario </w:t>
      </w:r>
      <w:r>
        <w:rPr>
          <w:b w:val="0"/>
          <w:i w:val="0"/>
          <w:smallCaps w:val="0"/>
          <w:strike w:val="0"/>
          <w:sz w:val="22"/>
          <w:highlight w:val="cyan"/>
          <w:u w:val="single"/>
        </w:rPr>
        <w:t>for the</w:t>
      </w:r>
      <w:r>
        <w:rPr>
          <w:b w:val="0"/>
          <w:i w:val="0"/>
          <w:smallCaps w:val="0"/>
          <w:strike w:val="0"/>
          <w:sz w:val="22"/>
          <w:u w:val="single"/>
        </w:rPr>
        <w:t xml:space="preserve"> short-term </w:t>
      </w:r>
      <w:r>
        <w:rPr>
          <w:b/>
          <w:i w:val="0"/>
          <w:smallCaps w:val="0"/>
          <w:strike w:val="0"/>
          <w:sz w:val="22"/>
          <w:u w:val="single"/>
        </w:rPr>
        <w:t xml:space="preserve">foreseeable </w:t>
      </w:r>
      <w:r>
        <w:rPr>
          <w:b/>
          <w:i w:val="0"/>
          <w:smallCaps w:val="0"/>
          <w:strike w:val="0"/>
          <w:sz w:val="22"/>
          <w:highlight w:val="cyan"/>
          <w:u w:val="single"/>
        </w:rPr>
        <w:t>future</w:t>
      </w:r>
      <w:r>
        <w:rPr>
          <w:b w:val="0"/>
          <w:i w:val="0"/>
          <w:smallCaps w:val="0"/>
          <w:strike w:val="0"/>
          <w:sz w:val="22"/>
          <w:u w:val="single"/>
        </w:rPr>
        <w:t>.</w:t>
      </w:r>
      <w:r>
        <w:rPr>
          <w:b w:val="0"/>
          <w:i w:val="0"/>
          <w:smallCaps w:val="0"/>
          <w:strike w:val="0"/>
          <w:sz w:val="16"/>
          <w:u w:val="none"/>
        </w:rPr>
        <w:t xml:space="preserve"> The inability to reach global consensus is not limited to drug control; it is a dilemma that links drug control with other global issues.197 Meanwhile, the limits of flexible treaty interpretations have been reached and overstretching them any further with legally dubious arguments would result in undermining basic principles of international law.198 </w:t>
      </w:r>
      <w:r>
        <w:rPr>
          <w:b w:val="0"/>
          <w:i w:val="0"/>
          <w:smallCaps w:val="0"/>
          <w:strike w:val="0"/>
          <w:sz w:val="22"/>
          <w:highlight w:val="cyan"/>
          <w:u w:val="single"/>
        </w:rPr>
        <w:t>States that intend to move</w:t>
      </w:r>
      <w:r>
        <w:rPr>
          <w:b w:val="0"/>
          <w:i w:val="0"/>
          <w:smallCaps w:val="0"/>
          <w:strike w:val="0"/>
          <w:sz w:val="22"/>
          <w:u w:val="single"/>
        </w:rPr>
        <w:t xml:space="preserve"> towards legal regulation, or that </w:t>
      </w:r>
      <w:r>
        <w:rPr>
          <w:b w:val="0"/>
          <w:i w:val="0"/>
          <w:smallCaps w:val="0"/>
          <w:strike w:val="0"/>
          <w:sz w:val="22"/>
          <w:highlight w:val="cyan"/>
          <w:u w:val="single"/>
        </w:rPr>
        <w:t xml:space="preserve">have </w:t>
      </w:r>
      <w:r>
        <w:rPr>
          <w:b/>
          <w:i w:val="0"/>
          <w:smallCaps w:val="0"/>
          <w:strike w:val="0"/>
          <w:sz w:val="22"/>
          <w:highlight w:val="cyan"/>
          <w:u w:val="single"/>
        </w:rPr>
        <w:t>already</w:t>
      </w:r>
      <w:r>
        <w:rPr>
          <w:b w:val="0"/>
          <w:i w:val="0"/>
          <w:smallCaps w:val="0"/>
          <w:strike w:val="0"/>
          <w:sz w:val="22"/>
          <w:highlight w:val="cyan"/>
          <w:u w:val="single"/>
        </w:rPr>
        <w:t xml:space="preserve"> done so</w:t>
      </w:r>
      <w:r>
        <w:rPr>
          <w:b w:val="0"/>
          <w:i w:val="0"/>
          <w:smallCaps w:val="0"/>
          <w:strike w:val="0"/>
          <w:sz w:val="16"/>
          <w:u w:val="none"/>
        </w:rPr>
        <w:t>, are therefore obliged to explore other options to reconcile such policy changes with their obligations under international law. Only a few options are available that do not require the consent of all the treaty parties.199</w:t>
      </w:r>
    </w:p>
    <w:p>
      <w:pPr>
        <w:spacing w:after="60"/>
      </w:pPr>
      <w:r>
        <w:rPr>
          <w:b w:val="0"/>
          <w:i w:val="0"/>
          <w:smallCaps w:val="0"/>
          <w:strike w:val="0"/>
          <w:sz w:val="16"/>
          <w:u w:val="none"/>
        </w:rPr>
        <w:t xml:space="preserve">The WHO can recommend after a critical review by its Expert Committee on Drug Dependence to ‘un-schedule’ a controlled substance (remove it from the treaty schedules), and the Commission on Narcotic Drugs can adopt the recommendation by a simple or two-thirds majority vote (for the 1961 and 1971 conventions respectively). As noted above, the WHO Expert Committee is in fact undertaking a pre-review process for cannabis and has announced a special meeting to discuss the classification of cannabis for June 2018.200 </w:t>
      </w:r>
      <w:r>
        <w:rPr>
          <w:b w:val="0"/>
          <w:i w:val="0"/>
          <w:smallCaps w:val="0"/>
          <w:strike w:val="0"/>
          <w:sz w:val="16"/>
          <w:u w:val="none"/>
        </w:rPr>
        <w:t>The</w:t>
      </w:r>
      <w:r>
        <w:rPr>
          <w:b w:val="0"/>
          <w:i w:val="0"/>
          <w:smallCaps w:val="0"/>
          <w:strike w:val="0"/>
          <w:sz w:val="16"/>
          <w:u w:val="none"/>
        </w:rPr>
        <w:t xml:space="preserve"> outcome of the subsequent critical review could come to the CND agenda earliest by March 2019 and will probably result in its deletion from Schedule 4, and possibly to a de-scheduling from Schedule 1 to 2. The chance that a WHO recommendation to fully un-schedule cannabis from the treaties altogether would get the required CND majority, however, also looks under current political circumstances to be unlikely.</w:t>
      </w:r>
    </w:p>
    <w:p>
      <w:pPr>
        <w:spacing w:after="60"/>
      </w:pPr>
      <w:r>
        <w:rPr>
          <w:b w:val="0"/>
          <w:i w:val="0"/>
          <w:smallCaps w:val="0"/>
          <w:strike w:val="0"/>
          <w:sz w:val="22"/>
          <w:u w:val="single"/>
        </w:rPr>
        <w:t xml:space="preserve">The </w:t>
      </w:r>
      <w:r>
        <w:rPr>
          <w:b/>
          <w:i w:val="0"/>
          <w:smallCaps w:val="0"/>
          <w:strike w:val="0"/>
          <w:sz w:val="22"/>
          <w:u w:val="single"/>
        </w:rPr>
        <w:t xml:space="preserve">only </w:t>
      </w:r>
      <w:r>
        <w:rPr>
          <w:b/>
          <w:i w:val="0"/>
          <w:smallCaps w:val="0"/>
          <w:strike w:val="0"/>
          <w:sz w:val="22"/>
          <w:highlight w:val="cyan"/>
          <w:u w:val="single"/>
        </w:rPr>
        <w:t>other</w:t>
      </w:r>
      <w:r>
        <w:rPr>
          <w:b/>
          <w:i w:val="0"/>
          <w:smallCaps w:val="0"/>
          <w:strike w:val="0"/>
          <w:sz w:val="22"/>
          <w:u w:val="single"/>
        </w:rPr>
        <w:t xml:space="preserve"> available </w:t>
      </w:r>
      <w:r>
        <w:rPr>
          <w:b/>
          <w:i w:val="0"/>
          <w:smallCaps w:val="0"/>
          <w:strike w:val="0"/>
          <w:sz w:val="22"/>
          <w:highlight w:val="cyan"/>
          <w:u w:val="single"/>
        </w:rPr>
        <w:t>options</w:t>
      </w:r>
      <w:r>
        <w:rPr>
          <w:b w:val="0"/>
          <w:i w:val="0"/>
          <w:smallCaps w:val="0"/>
          <w:strike w:val="0"/>
          <w:sz w:val="22"/>
          <w:highlight w:val="cyan"/>
          <w:u w:val="single"/>
        </w:rPr>
        <w:t xml:space="preserve"> that do not require consensus are either </w:t>
      </w:r>
      <w:r>
        <w:rPr>
          <w:b/>
          <w:i w:val="0"/>
          <w:smallCaps w:val="0"/>
          <w:strike w:val="0"/>
          <w:sz w:val="22"/>
          <w:highlight w:val="cyan"/>
          <w:u w:val="single"/>
        </w:rPr>
        <w:t>unilateral</w:t>
      </w:r>
      <w:r>
        <w:rPr>
          <w:b/>
          <w:i w:val="0"/>
          <w:smallCaps w:val="0"/>
          <w:strike w:val="0"/>
          <w:sz w:val="22"/>
          <w:u w:val="single"/>
        </w:rPr>
        <w:t>ly</w:t>
      </w:r>
      <w:r>
        <w:rPr>
          <w:b w:val="0"/>
          <w:i w:val="0"/>
          <w:smallCaps w:val="0"/>
          <w:strike w:val="0"/>
          <w:sz w:val="22"/>
          <w:u w:val="single"/>
        </w:rPr>
        <w:t xml:space="preserve"> by late reservations or </w:t>
      </w:r>
      <w:r>
        <w:rPr>
          <w:b/>
          <w:i w:val="0"/>
          <w:smallCaps w:val="0"/>
          <w:strike w:val="0"/>
          <w:sz w:val="22"/>
          <w:u w:val="single"/>
        </w:rPr>
        <w:t>denunciation</w:t>
      </w:r>
      <w:r>
        <w:rPr>
          <w:b w:val="0"/>
          <w:i w:val="0"/>
          <w:smallCaps w:val="0"/>
          <w:strike w:val="0"/>
          <w:sz w:val="22"/>
          <w:u w:val="single"/>
        </w:rPr>
        <w:t xml:space="preserve"> and </w:t>
      </w:r>
      <w:r>
        <w:rPr>
          <w:b w:val="0"/>
          <w:i w:val="0"/>
          <w:smallCaps w:val="0"/>
          <w:strike w:val="0"/>
          <w:sz w:val="22"/>
          <w:u w:val="single"/>
        </w:rPr>
        <w:t>reaccession</w:t>
      </w:r>
      <w:r>
        <w:rPr>
          <w:b w:val="0"/>
          <w:i w:val="0"/>
          <w:smallCaps w:val="0"/>
          <w:strike w:val="0"/>
          <w:sz w:val="22"/>
          <w:u w:val="single"/>
        </w:rPr>
        <w:t xml:space="preserve"> with new reservations, or collectively by inter se modification agreements among </w:t>
      </w:r>
      <w:r>
        <w:rPr>
          <w:b/>
          <w:i w:val="0"/>
          <w:smallCaps w:val="0"/>
          <w:strike w:val="0"/>
          <w:sz w:val="22"/>
          <w:u w:val="single"/>
        </w:rPr>
        <w:t>like-minded countries</w:t>
      </w:r>
      <w:r>
        <w:rPr>
          <w:b w:val="0"/>
          <w:i w:val="0"/>
          <w:smallCaps w:val="0"/>
          <w:strike w:val="0"/>
          <w:sz w:val="22"/>
          <w:u w:val="single"/>
        </w:rPr>
        <w:t xml:space="preserve">. </w:t>
      </w:r>
      <w:r>
        <w:rPr>
          <w:b w:val="0"/>
          <w:i w:val="0"/>
          <w:smallCaps w:val="0"/>
          <w:strike w:val="0"/>
          <w:sz w:val="22"/>
          <w:highlight w:val="cyan"/>
          <w:u w:val="single"/>
        </w:rPr>
        <w:t>All of</w:t>
      </w:r>
      <w:r>
        <w:rPr>
          <w:b w:val="0"/>
          <w:i w:val="0"/>
          <w:smallCaps w:val="0"/>
          <w:strike w:val="0"/>
          <w:sz w:val="22"/>
          <w:highlight w:val="cyan"/>
          <w:u w:val="single"/>
        </w:rPr>
        <w:t xml:space="preserve"> these</w:t>
      </w:r>
      <w:r>
        <w:rPr>
          <w:b w:val="0"/>
          <w:i w:val="0"/>
          <w:smallCaps w:val="0"/>
          <w:strike w:val="0"/>
          <w:sz w:val="22"/>
          <w:u w:val="single"/>
        </w:rPr>
        <w:t xml:space="preserve"> options </w:t>
      </w:r>
      <w:r>
        <w:rPr>
          <w:b w:val="0"/>
          <w:i w:val="0"/>
          <w:smallCaps w:val="0"/>
          <w:strike w:val="0"/>
          <w:sz w:val="22"/>
          <w:highlight w:val="cyan"/>
          <w:u w:val="single"/>
        </w:rPr>
        <w:t>are controversial</w:t>
      </w:r>
      <w:r>
        <w:rPr>
          <w:b w:val="0"/>
          <w:i w:val="0"/>
          <w:smallCaps w:val="0"/>
          <w:strike w:val="0"/>
          <w:sz w:val="22"/>
          <w:u w:val="single"/>
        </w:rPr>
        <w:t xml:space="preserve"> because a </w:t>
      </w:r>
      <w:r>
        <w:rPr>
          <w:b/>
          <w:i w:val="0"/>
          <w:smallCaps w:val="0"/>
          <w:strike w:val="0"/>
          <w:sz w:val="22"/>
          <w:u w:val="single"/>
        </w:rPr>
        <w:t>generalized application</w:t>
      </w:r>
      <w:r>
        <w:rPr>
          <w:b w:val="0"/>
          <w:i w:val="0"/>
          <w:smallCaps w:val="0"/>
          <w:strike w:val="0"/>
          <w:sz w:val="22"/>
          <w:u w:val="single"/>
        </w:rPr>
        <w:t xml:space="preserve"> of such procedures </w:t>
      </w:r>
      <w:r>
        <w:rPr>
          <w:b w:val="0"/>
          <w:i w:val="0"/>
          <w:smallCaps w:val="0"/>
          <w:strike w:val="0"/>
          <w:sz w:val="22"/>
          <w:highlight w:val="cyan"/>
          <w:u w:val="single"/>
        </w:rPr>
        <w:t xml:space="preserve">would erode the </w:t>
      </w:r>
      <w:r>
        <w:rPr>
          <w:b/>
          <w:i w:val="0"/>
          <w:smallCaps w:val="0"/>
          <w:strike w:val="0"/>
          <w:sz w:val="22"/>
          <w:highlight w:val="cyan"/>
          <w:u w:val="single"/>
        </w:rPr>
        <w:t>stability</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international </w:t>
      </w:r>
      <w:r>
        <w:rPr>
          <w:b/>
          <w:i w:val="0"/>
          <w:smallCaps w:val="0"/>
          <w:strike w:val="0"/>
          <w:sz w:val="22"/>
          <w:highlight w:val="cyan"/>
          <w:u w:val="single"/>
        </w:rPr>
        <w:t>treaty regimes</w:t>
      </w:r>
      <w:r>
        <w:rPr>
          <w:b w:val="0"/>
          <w:i w:val="0"/>
          <w:smallCaps w:val="0"/>
          <w:strike w:val="0"/>
          <w:sz w:val="22"/>
          <w:u w:val="single"/>
        </w:rPr>
        <w:t>.</w:t>
      </w:r>
      <w:r>
        <w:rPr>
          <w:b w:val="0"/>
          <w:i w:val="0"/>
          <w:smallCaps w:val="0"/>
          <w:strike w:val="0"/>
          <w:sz w:val="16"/>
          <w:u w:val="none"/>
        </w:rPr>
        <w:t xml:space="preserve"> Recourse to these options for the purpose of </w:t>
      </w:r>
      <w:r>
        <w:rPr>
          <w:b w:val="0"/>
          <w:i w:val="0"/>
          <w:smallCaps w:val="0"/>
          <w:strike w:val="0"/>
          <w:sz w:val="22"/>
          <w:highlight w:val="cyan"/>
          <w:u w:val="single"/>
        </w:rPr>
        <w:t>legitimising</w:t>
      </w:r>
      <w:r>
        <w:rPr>
          <w:b w:val="0"/>
          <w:i w:val="0"/>
          <w:smallCaps w:val="0"/>
          <w:strike w:val="0"/>
          <w:sz w:val="22"/>
          <w:u w:val="single"/>
        </w:rPr>
        <w:t xml:space="preserve"> cannabis </w:t>
      </w:r>
      <w:r>
        <w:rPr>
          <w:b w:val="0"/>
          <w:i w:val="0"/>
          <w:smallCaps w:val="0"/>
          <w:strike w:val="0"/>
          <w:sz w:val="22"/>
          <w:highlight w:val="cyan"/>
          <w:u w:val="single"/>
        </w:rPr>
        <w:t xml:space="preserve">regulation will be </w:t>
      </w:r>
      <w:r>
        <w:rPr>
          <w:b/>
          <w:i w:val="0"/>
          <w:smallCaps w:val="0"/>
          <w:strike w:val="0"/>
          <w:sz w:val="22"/>
          <w:highlight w:val="cyan"/>
          <w:u w:val="single"/>
        </w:rPr>
        <w:t>contested</w:t>
      </w:r>
      <w:r>
        <w:rPr>
          <w:b w:val="0"/>
          <w:i w:val="0"/>
          <w:smallCaps w:val="0"/>
          <w:strike w:val="0"/>
          <w:sz w:val="16"/>
          <w:u w:val="none"/>
        </w:rPr>
        <w:t>, as was the case with Bolivia’s procedure which—in the end successfully—</w:t>
      </w:r>
      <w:r>
        <w:rPr>
          <w:b w:val="0"/>
          <w:i w:val="0"/>
          <w:smallCaps w:val="0"/>
          <w:strike w:val="0"/>
          <w:sz w:val="16"/>
          <w:u w:val="none"/>
        </w:rPr>
        <w:t>legitimised</w:t>
      </w:r>
      <w:r>
        <w:rPr>
          <w:b w:val="0"/>
          <w:i w:val="0"/>
          <w:smallCaps w:val="0"/>
          <w:strike w:val="0"/>
          <w:sz w:val="16"/>
          <w:u w:val="none"/>
        </w:rPr>
        <w:t xml:space="preserve"> the legal regulation of its domestic coca market.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