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threshold is </w:t>
      </w:r>
      <w:r>
        <w:rPr>
          <w:b/>
          <w:i w:val="0"/>
          <w:smallCaps w:val="0"/>
          <w:strike w:val="0"/>
          <w:sz w:val="26"/>
          <w:u w:val="single"/>
        </w:rPr>
        <w:t>low</w:t>
      </w:r>
      <w:r>
        <w:rPr>
          <w:b/>
          <w:i w:val="0"/>
          <w:smallCaps w:val="0"/>
          <w:strike w:val="0"/>
          <w:sz w:val="26"/>
          <w:u w:val="none"/>
        </w:rPr>
        <w:t xml:space="preserve">---there just needs to be </w:t>
      </w:r>
      <w:r>
        <w:rPr>
          <w:b/>
          <w:i w:val="0"/>
          <w:smallCaps w:val="0"/>
          <w:strike w:val="0"/>
          <w:sz w:val="26"/>
          <w:u w:val="single"/>
        </w:rPr>
        <w:t>one</w:t>
      </w:r>
      <w:r>
        <w:rPr>
          <w:b/>
          <w:i w:val="0"/>
          <w:smallCaps w:val="0"/>
          <w:strike w:val="0"/>
          <w:sz w:val="26"/>
          <w:u w:val="none"/>
        </w:rPr>
        <w:t xml:space="preserve"> country to </w:t>
      </w:r>
      <w:r>
        <w:rPr>
          <w:b/>
          <w:i w:val="0"/>
          <w:smallCaps w:val="0"/>
          <w:strike w:val="0"/>
          <w:sz w:val="26"/>
          <w:u w:val="none"/>
        </w:rPr>
        <w:t>halt</w:t>
      </w:r>
      <w:r>
        <w:rPr>
          <w:b/>
          <w:i w:val="0"/>
          <w:smallCaps w:val="0"/>
          <w:strike w:val="0"/>
          <w:sz w:val="26"/>
          <w:u w:val="none"/>
        </w:rPr>
        <w:t xml:space="preserve"> the </w:t>
      </w:r>
      <w:r>
        <w:rPr>
          <w:b/>
          <w:i w:val="0"/>
          <w:smallCaps w:val="0"/>
          <w:strike w:val="0"/>
          <w:sz w:val="26"/>
          <w:u w:val="single"/>
        </w:rPr>
        <w:t>entire</w:t>
      </w:r>
      <w:r>
        <w:rPr>
          <w:b/>
          <w:i w:val="0"/>
          <w:smallCaps w:val="0"/>
          <w:strike w:val="0"/>
          <w:sz w:val="26"/>
          <w:u w:val="none"/>
        </w:rPr>
        <w:t xml:space="preserve"> process. </w:t>
      </w:r>
    </w:p>
    <w:p>
      <w:pPr>
        <w:spacing w:after="80"/>
      </w:pPr>
      <w:r>
        <w:rPr>
          <w:b w:val="0"/>
          <w:i w:val="0"/>
          <w:smallCaps w:val="0"/>
          <w:strike w:val="0"/>
          <w:u w:val="none"/>
        </w:rPr>
        <w:t xml:space="preserve">Martin </w:t>
      </w:r>
      <w:r>
        <w:rPr>
          <w:b/>
          <w:i w:val="0"/>
          <w:smallCaps w:val="0"/>
          <w:strike w:val="0"/>
          <w:sz w:val="26"/>
          <w:u w:val="none"/>
        </w:rPr>
        <w:t>Jelsma 18</w:t>
      </w:r>
      <w:r>
        <w:rPr>
          <w:b w:val="0"/>
          <w:i w:val="0"/>
          <w:smallCaps w:val="0"/>
          <w:strike w:val="0"/>
          <w:u w:val="none"/>
        </w:rPr>
        <w:t xml:space="preserve">, Director of the Drugs and Democracy </w:t>
      </w:r>
      <w:r>
        <w:rPr>
          <w:b w:val="0"/>
          <w:i w:val="0"/>
          <w:smallCaps w:val="0"/>
          <w:strike w:val="0"/>
          <w:u w:val="none"/>
        </w:rPr>
        <w:t>Programme</w:t>
      </w:r>
      <w:r>
        <w:rPr>
          <w:b w:val="0"/>
          <w:i w:val="0"/>
          <w:smallCaps w:val="0"/>
          <w:strike w:val="0"/>
          <w:u w:val="none"/>
        </w:rPr>
        <w:t xml:space="preserve">, Transnational Institute,  Senior Research Associate at the Global Drug Policy Observatory (GDPO) at Swansea University; Neil </w:t>
      </w:r>
      <w:r>
        <w:rPr>
          <w:b w:val="0"/>
          <w:i w:val="0"/>
          <w:smallCaps w:val="0"/>
          <w:strike w:val="0"/>
          <w:u w:val="none"/>
        </w:rPr>
        <w:t>Boister</w:t>
      </w:r>
      <w:r>
        <w:rPr>
          <w:b w:val="0"/>
          <w:i w:val="0"/>
          <w:smallCaps w:val="0"/>
          <w:strike w:val="0"/>
          <w:u w:val="none"/>
        </w:rPr>
        <w:t xml:space="preserve">, Professor of International Law at the University of Canterbury; David Bewley-Taylor, Professor of International Relations and Public Policy, Director of the GDPO; Malgosia Fitzmaurice, Professor of Public International Law at Queen Mary University of London; John Walsh, Director for Drug Policy and the Andes at the Washington Office on Latin America, March 2018, “Balancing Treaty Stability and Change: Inter se modification of the UN drug control conventions to facilitate cannabis regulation,” </w:t>
      </w:r>
      <w:r>
        <w:rPr>
          <w:b w:val="0"/>
          <w:i/>
          <w:smallCaps w:val="0"/>
          <w:strike w:val="0"/>
          <w:u w:val="none"/>
        </w:rPr>
        <w:t>WOLA</w:t>
      </w:r>
      <w:r>
        <w:rPr>
          <w:b w:val="0"/>
          <w:i w:val="0"/>
          <w:smallCaps w:val="0"/>
          <w:strike w:val="0"/>
          <w:u w:val="none"/>
        </w:rPr>
        <w:t xml:space="preserve">, Policy Report 7, </w:t>
      </w:r>
      <w:r>
        <w:rPr>
          <w:b w:val="0"/>
          <w:i w:val="0"/>
          <w:smallCaps w:val="0"/>
          <w:strike w:val="0"/>
          <w:u w:val="none"/>
        </w:rPr>
        <w:t>https://www.wola.org/wp-content/uploads/2018/04/FINAL_Updated.pdf</w:t>
      </w:r>
      <w:r>
        <w:rPr>
          <w:b w:val="0"/>
          <w:i w:val="0"/>
          <w:smallCaps w:val="0"/>
          <w:strike w:val="0"/>
          <w:u w:val="none"/>
        </w:rPr>
        <w:t>, kav</w:t>
      </w:r>
    </w:p>
    <w:p>
      <w:pPr>
        <w:spacing w:after="60"/>
      </w:pPr>
      <w:r>
        <w:rPr>
          <w:b w:val="0"/>
          <w:i w:val="0"/>
          <w:smallCaps w:val="0"/>
          <w:strike w:val="0"/>
          <w:sz w:val="16"/>
          <w:u w:val="none"/>
        </w:rPr>
        <w:t xml:space="preserve">Similarly, </w:t>
      </w:r>
      <w:r>
        <w:rPr>
          <w:b w:val="0"/>
          <w:i w:val="0"/>
          <w:smallCaps w:val="0"/>
          <w:strike w:val="0"/>
          <w:sz w:val="22"/>
          <w:highlight w:val="cyan"/>
          <w:u w:val="single"/>
        </w:rPr>
        <w:t>procedures</w:t>
      </w:r>
      <w:r>
        <w:rPr>
          <w:b w:val="0"/>
          <w:i w:val="0"/>
          <w:smallCaps w:val="0"/>
          <w:strike w:val="0"/>
          <w:sz w:val="22"/>
          <w:u w:val="single"/>
        </w:rPr>
        <w:t xml:space="preserve"> within all three treaties </w:t>
      </w:r>
      <w:r>
        <w:rPr>
          <w:b w:val="0"/>
          <w:i w:val="0"/>
          <w:smallCaps w:val="0"/>
          <w:strike w:val="0"/>
          <w:sz w:val="22"/>
          <w:highlight w:val="cyan"/>
          <w:u w:val="single"/>
        </w:rPr>
        <w:t xml:space="preserve">allow even </w:t>
      </w:r>
      <w:r>
        <w:rPr>
          <w:b/>
          <w:i w:val="0"/>
          <w:smallCaps w:val="0"/>
          <w:strike w:val="0"/>
          <w:sz w:val="22"/>
          <w:highlight w:val="cyan"/>
          <w:u w:val="single"/>
        </w:rPr>
        <w:t>limited opposition</w:t>
      </w:r>
      <w:r>
        <w:rPr>
          <w:b w:val="0"/>
          <w:i w:val="0"/>
          <w:smallCaps w:val="0"/>
          <w:strike w:val="0"/>
          <w:sz w:val="22"/>
          <w:u w:val="single"/>
        </w:rPr>
        <w:t xml:space="preserve"> to a proposed amendment </w:t>
      </w:r>
      <w:r>
        <w:rPr>
          <w:b w:val="0"/>
          <w:i w:val="0"/>
          <w:smallCaps w:val="0"/>
          <w:strike w:val="0"/>
          <w:sz w:val="22"/>
          <w:highlight w:val="cyan"/>
          <w:u w:val="single"/>
        </w:rPr>
        <w:t>to thwart the initiative</w:t>
      </w:r>
      <w:r>
        <w:rPr>
          <w:b w:val="0"/>
          <w:i w:val="0"/>
          <w:smallCaps w:val="0"/>
          <w:strike w:val="0"/>
          <w:sz w:val="22"/>
          <w:u w:val="single"/>
        </w:rPr>
        <w:t xml:space="preserve">. </w:t>
      </w:r>
      <w:r>
        <w:rPr>
          <w:b w:val="0"/>
          <w:i w:val="0"/>
          <w:smallCaps w:val="0"/>
          <w:strike w:val="0"/>
          <w:sz w:val="16"/>
          <w:u w:val="none"/>
        </w:rPr>
        <w:t xml:space="preserve">For both the 1961 and 1971 Conventions, </w:t>
      </w:r>
      <w:r>
        <w:rPr>
          <w:b w:val="0"/>
          <w:i w:val="0"/>
          <w:smallCaps w:val="0"/>
          <w:strike w:val="0"/>
          <w:sz w:val="22"/>
          <w:u w:val="single"/>
        </w:rPr>
        <w:t xml:space="preserve">if no Party rejects the </w:t>
      </w:r>
      <w:r>
        <w:rPr>
          <w:b/>
          <w:i w:val="0"/>
          <w:smallCaps w:val="0"/>
          <w:strike w:val="0"/>
          <w:sz w:val="22"/>
          <w:u w:val="single"/>
        </w:rPr>
        <w:t>amendment</w:t>
      </w:r>
      <w:r>
        <w:rPr>
          <w:b w:val="0"/>
          <w:i w:val="0"/>
          <w:smallCaps w:val="0"/>
          <w:strike w:val="0"/>
          <w:sz w:val="22"/>
          <w:u w:val="single"/>
        </w:rPr>
        <w:t xml:space="preserve"> within 18 months after circulation ‘it shall thereupon enter into force.’</w:t>
      </w:r>
      <w:r>
        <w:rPr>
          <w:b w:val="0"/>
          <w:i w:val="0"/>
          <w:smallCaps w:val="0"/>
          <w:strike w:val="0"/>
          <w:sz w:val="16"/>
          <w:u w:val="none"/>
        </w:rPr>
        <w:t xml:space="preserve"> (Article 47 (2) and Article 30 (2) respectively). </w:t>
      </w:r>
      <w:r>
        <w:rPr>
          <w:b w:val="0"/>
          <w:i w:val="0"/>
          <w:smallCaps w:val="0"/>
          <w:strike w:val="0"/>
          <w:sz w:val="22"/>
          <w:u w:val="single"/>
        </w:rPr>
        <w:t xml:space="preserve">However, </w:t>
      </w:r>
      <w:r>
        <w:rPr>
          <w:b w:val="0"/>
          <w:i w:val="0"/>
          <w:smallCaps w:val="0"/>
          <w:strike w:val="0"/>
          <w:sz w:val="22"/>
          <w:highlight w:val="cyan"/>
          <w:u w:val="single"/>
        </w:rPr>
        <w:t>if</w:t>
      </w:r>
      <w:r>
        <w:rPr>
          <w:b w:val="0"/>
          <w:i w:val="0"/>
          <w:smallCaps w:val="0"/>
          <w:strike w:val="0"/>
          <w:sz w:val="22"/>
          <w:u w:val="single"/>
        </w:rPr>
        <w:t xml:space="preserve"> a proposed amendment is </w:t>
      </w:r>
      <w:r>
        <w:rPr>
          <w:b w:val="0"/>
          <w:i w:val="0"/>
          <w:smallCaps w:val="0"/>
          <w:strike w:val="0"/>
          <w:sz w:val="22"/>
          <w:highlight w:val="cyan"/>
          <w:u w:val="single"/>
        </w:rPr>
        <w:t xml:space="preserve">rejected by </w:t>
      </w:r>
      <w:r>
        <w:rPr>
          <w:b/>
          <w:i w:val="0"/>
          <w:smallCaps w:val="0"/>
          <w:strike w:val="0"/>
          <w:sz w:val="22"/>
          <w:highlight w:val="cyan"/>
          <w:u w:val="single"/>
        </w:rPr>
        <w:t>one</w:t>
      </w:r>
      <w:r>
        <w:rPr>
          <w:b/>
          <w:i w:val="0"/>
          <w:smallCaps w:val="0"/>
          <w:strike w:val="0"/>
          <w:sz w:val="22"/>
          <w:u w:val="single"/>
        </w:rPr>
        <w:t xml:space="preserve"> or more</w:t>
      </w:r>
      <w:r>
        <w:rPr>
          <w:b w:val="0"/>
          <w:i w:val="0"/>
          <w:smallCaps w:val="0"/>
          <w:strike w:val="0"/>
          <w:sz w:val="22"/>
          <w:u w:val="single"/>
        </w:rPr>
        <w:t xml:space="preserve"> </w:t>
      </w:r>
      <w:r>
        <w:rPr>
          <w:b w:val="0"/>
          <w:i w:val="0"/>
          <w:smallCaps w:val="0"/>
          <w:strike w:val="0"/>
          <w:sz w:val="22"/>
          <w:highlight w:val="cyan"/>
          <w:u w:val="single"/>
        </w:rPr>
        <w:t>parti</w:t>
      </w:r>
      <w:r>
        <w:rPr>
          <w:b w:val="0"/>
          <w:i w:val="0"/>
          <w:smallCaps w:val="0"/>
          <w:strike w:val="0"/>
          <w:sz w:val="22"/>
          <w:u w:val="single"/>
        </w:rPr>
        <w:t xml:space="preserve">es, </w:t>
      </w:r>
      <w:r>
        <w:rPr>
          <w:b w:val="0"/>
          <w:i w:val="0"/>
          <w:smallCaps w:val="0"/>
          <w:strike w:val="0"/>
          <w:sz w:val="22"/>
          <w:highlight w:val="cyan"/>
          <w:u w:val="single"/>
        </w:rPr>
        <w:t xml:space="preserve">the Council </w:t>
      </w:r>
      <w:r>
        <w:rPr>
          <w:b w:val="0"/>
          <w:i w:val="0"/>
          <w:smallCaps w:val="0"/>
          <w:strike w:val="0"/>
          <w:sz w:val="22"/>
          <w:u w:val="single"/>
        </w:rPr>
        <w:t xml:space="preserve">may </w:t>
      </w:r>
      <w:r>
        <w:rPr>
          <w:b w:val="0"/>
          <w:i w:val="0"/>
          <w:smallCaps w:val="0"/>
          <w:strike w:val="0"/>
          <w:sz w:val="22"/>
          <w:highlight w:val="cyan"/>
          <w:u w:val="single"/>
        </w:rPr>
        <w:t>follow suit in</w:t>
      </w:r>
      <w:r>
        <w:rPr>
          <w:b w:val="0"/>
          <w:i w:val="0"/>
          <w:smallCaps w:val="0"/>
          <w:strike w:val="0"/>
          <w:sz w:val="22"/>
          <w:u w:val="single"/>
        </w:rPr>
        <w:t xml:space="preserve"> ‘</w:t>
      </w:r>
      <w:r>
        <w:rPr>
          <w:b w:val="0"/>
          <w:i w:val="0"/>
          <w:smallCaps w:val="0"/>
          <w:strike w:val="0"/>
          <w:sz w:val="22"/>
          <w:highlight w:val="cyan"/>
          <w:u w:val="single"/>
        </w:rPr>
        <w:t>response</w:t>
      </w:r>
      <w:r>
        <w:rPr>
          <w:b w:val="0"/>
          <w:i w:val="0"/>
          <w:smallCaps w:val="0"/>
          <w:strike w:val="0"/>
          <w:sz w:val="22"/>
          <w:u w:val="single"/>
        </w:rPr>
        <w:t xml:space="preserve"> to </w:t>
      </w:r>
      <w:r>
        <w:rPr>
          <w:b/>
          <w:i w:val="0"/>
          <w:smallCaps w:val="0"/>
          <w:strike w:val="0"/>
          <w:sz w:val="22"/>
          <w:u w:val="single"/>
        </w:rPr>
        <w:t>objections</w:t>
      </w:r>
      <w:r>
        <w:rPr>
          <w:b w:val="0"/>
          <w:i w:val="0"/>
          <w:smallCaps w:val="0"/>
          <w:strike w:val="0"/>
          <w:sz w:val="22"/>
          <w:u w:val="single"/>
        </w:rPr>
        <w:t xml:space="preserve"> and the </w:t>
      </w:r>
      <w:r>
        <w:rPr>
          <w:b/>
          <w:i w:val="0"/>
          <w:smallCaps w:val="0"/>
          <w:strike w:val="0"/>
          <w:sz w:val="22"/>
          <w:u w:val="single"/>
        </w:rPr>
        <w:t>substantial arguments</w:t>
      </w:r>
      <w:r>
        <w:rPr>
          <w:b w:val="0"/>
          <w:i w:val="0"/>
          <w:smallCaps w:val="0"/>
          <w:strike w:val="0"/>
          <w:sz w:val="22"/>
          <w:u w:val="single"/>
        </w:rPr>
        <w:t xml:space="preserve"> provided’</w:t>
      </w:r>
      <w:r>
        <w:rPr>
          <w:b w:val="0"/>
          <w:i w:val="0"/>
          <w:smallCaps w:val="0"/>
          <w:strike w:val="0"/>
          <w:sz w:val="16"/>
          <w:u w:val="none"/>
        </w:rPr>
        <w:t xml:space="preserve">67 </w:t>
      </w:r>
      <w:r>
        <w:rPr>
          <w:b w:val="0"/>
          <w:i w:val="0"/>
          <w:smallCaps w:val="0"/>
          <w:strike w:val="0"/>
          <w:sz w:val="22"/>
          <w:highlight w:val="cyan"/>
          <w:u w:val="single"/>
        </w:rPr>
        <w:t xml:space="preserve">or decide whether a conference should be called to consider the </w:t>
      </w:r>
      <w:r>
        <w:rPr>
          <w:b/>
          <w:i w:val="0"/>
          <w:smallCaps w:val="0"/>
          <w:strike w:val="0"/>
          <w:sz w:val="22"/>
          <w:highlight w:val="cyan"/>
          <w:u w:val="single"/>
        </w:rPr>
        <w:t>amendment</w:t>
      </w:r>
      <w:r>
        <w:rPr>
          <w:b w:val="0"/>
          <w:i w:val="0"/>
          <w:smallCaps w:val="0"/>
          <w:strike w:val="0"/>
          <w:sz w:val="22"/>
          <w:u w:val="single"/>
        </w:rPr>
        <w:t xml:space="preserve">. </w:t>
      </w:r>
      <w:r>
        <w:rPr>
          <w:b w:val="0"/>
          <w:i w:val="0"/>
          <w:smallCaps w:val="0"/>
          <w:strike w:val="0"/>
          <w:sz w:val="16"/>
          <w:u w:val="none"/>
        </w:rPr>
        <w:t>As well as operating on a more generous timetable, provisions within the 1988 Convention differ somewhat in other respects. According to Article 31 (1), if a proposed and circulated amendment has not been rejected by any party within 24 months, ‘it shall be deemed to have been accepted and shall enter into force in respect of a Party…’ However, moving away from ‘tacit approval’ within the earlier treaties,68 this comes into effect ninety days after ‘that party has deposited with the Secretary General an instrument expressing its consent to be bound by that amendment.’</w:t>
      </w:r>
      <w:r>
        <w:rPr>
          <w:b w:val="0"/>
          <w:i w:val="0"/>
          <w:smallCaps w:val="0"/>
          <w:strike w:val="0"/>
          <w:sz w:val="22"/>
          <w:u w:val="single"/>
        </w:rPr>
        <w:t xml:space="preserve"> In this case, if the proposed amendment is rejected by any party, the UNSG must consult with the parties and ‘if a </w:t>
      </w:r>
      <w:r>
        <w:rPr>
          <w:b/>
          <w:i w:val="0"/>
          <w:smallCaps w:val="0"/>
          <w:strike w:val="0"/>
          <w:sz w:val="22"/>
          <w:u w:val="single"/>
        </w:rPr>
        <w:t>majority</w:t>
      </w:r>
      <w:r>
        <w:rPr>
          <w:b w:val="0"/>
          <w:i w:val="0"/>
          <w:smallCaps w:val="0"/>
          <w:strike w:val="0"/>
          <w:sz w:val="22"/>
          <w:u w:val="single"/>
        </w:rPr>
        <w:t xml:space="preserve"> so requests, bring the matter to the Council which may decide to call a conference.’</w:t>
      </w:r>
      <w:r>
        <w:rPr>
          <w:b w:val="0"/>
          <w:i w:val="0"/>
          <w:smallCaps w:val="0"/>
          <w:strike w:val="0"/>
          <w:sz w:val="16"/>
          <w:u w:val="none"/>
        </w:rPr>
        <w:t xml:space="preserve"> (Article 31 (2))</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