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No link and </w:t>
      </w:r>
      <w:r>
        <w:rPr>
          <w:b/>
          <w:i w:val="0"/>
          <w:smallCaps w:val="0"/>
          <w:strike w:val="0"/>
          <w:sz w:val="26"/>
          <w:u w:val="single"/>
        </w:rPr>
        <w:t>turn</w:t>
      </w:r>
      <w:r>
        <w:rPr>
          <w:b/>
          <w:i w:val="0"/>
          <w:smallCaps w:val="0"/>
          <w:strike w:val="0"/>
          <w:sz w:val="26"/>
          <w:u w:val="none"/>
        </w:rPr>
        <w:t xml:space="preserve">. The plan doesn’t affect </w:t>
      </w:r>
      <w:r>
        <w:rPr>
          <w:b/>
          <w:i w:val="0"/>
          <w:smallCaps w:val="0"/>
          <w:strike w:val="0"/>
          <w:sz w:val="26"/>
          <w:u w:val="single"/>
        </w:rPr>
        <w:t>broad</w:t>
      </w:r>
      <w:r>
        <w:rPr>
          <w:b/>
          <w:i w:val="0"/>
          <w:smallCaps w:val="0"/>
          <w:strike w:val="0"/>
          <w:sz w:val="26"/>
          <w:u w:val="none"/>
        </w:rPr>
        <w:t xml:space="preserve"> treaty obligations and </w:t>
      </w:r>
      <w:r>
        <w:rPr>
          <w:b/>
          <w:i w:val="0"/>
          <w:smallCaps w:val="0"/>
          <w:strike w:val="0"/>
          <w:sz w:val="26"/>
          <w:u w:val="single"/>
        </w:rPr>
        <w:t>recommits</w:t>
      </w:r>
      <w:r>
        <w:rPr>
          <w:b/>
          <w:i w:val="0"/>
          <w:smallCaps w:val="0"/>
          <w:strike w:val="0"/>
          <w:sz w:val="26"/>
          <w:u w:val="none"/>
        </w:rPr>
        <w:t xml:space="preserve"> to TRIPs standards.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Charles </w:t>
      </w:r>
      <w:r>
        <w:rPr>
          <w:b/>
          <w:i w:val="0"/>
          <w:smallCaps w:val="0"/>
          <w:strike w:val="0"/>
          <w:sz w:val="26"/>
          <w:u w:val="none"/>
        </w:rPr>
        <w:t>Wells 21</w:t>
      </w:r>
      <w:r>
        <w:rPr>
          <w:b w:val="0"/>
          <w:i w:val="0"/>
          <w:smallCaps w:val="0"/>
          <w:strike w:val="0"/>
          <w:u w:val="none"/>
        </w:rPr>
        <w:t>, JD from UGA Law School, “</w:t>
      </w:r>
      <w:r>
        <w:rPr>
          <w:b w:val="0"/>
          <w:i w:val="0"/>
          <w:smallCaps w:val="0"/>
          <w:strike w:val="0"/>
          <w:u w:val="none"/>
        </w:rPr>
        <w:t xml:space="preserve">Trademarking Recreational Marijuana </w:t>
      </w:r>
      <w:r>
        <w:rPr>
          <w:b w:val="0"/>
          <w:i w:val="0"/>
          <w:smallCaps w:val="0"/>
          <w:strike w:val="0"/>
          <w:u w:val="none"/>
        </w:rPr>
        <w:t>a</w:t>
      </w:r>
      <w:r>
        <w:rPr>
          <w:b w:val="0"/>
          <w:i w:val="0"/>
          <w:smallCaps w:val="0"/>
          <w:strike w:val="0"/>
          <w:u w:val="none"/>
        </w:rPr>
        <w:t xml:space="preserve">nd Potential Threats </w:t>
      </w:r>
      <w:r>
        <w:rPr>
          <w:b w:val="0"/>
          <w:i w:val="0"/>
          <w:smallCaps w:val="0"/>
          <w:strike w:val="0"/>
          <w:u w:val="none"/>
        </w:rPr>
        <w:t>t</w:t>
      </w:r>
      <w:r>
        <w:rPr>
          <w:b w:val="0"/>
          <w:i w:val="0"/>
          <w:smallCaps w:val="0"/>
          <w:strike w:val="0"/>
          <w:u w:val="none"/>
        </w:rPr>
        <w:t xml:space="preserve">o </w:t>
      </w:r>
      <w:r>
        <w:rPr>
          <w:b w:val="0"/>
          <w:i w:val="0"/>
          <w:smallCaps w:val="0"/>
          <w:strike w:val="0"/>
          <w:u w:val="none"/>
        </w:rPr>
        <w:t>t</w:t>
      </w:r>
      <w:r>
        <w:rPr>
          <w:b w:val="0"/>
          <w:i w:val="0"/>
          <w:smallCaps w:val="0"/>
          <w:strike w:val="0"/>
          <w:u w:val="none"/>
        </w:rPr>
        <w:t>he United States' Treaty Obligations,</w:t>
      </w:r>
      <w:r>
        <w:rPr>
          <w:b w:val="0"/>
          <w:i w:val="0"/>
          <w:smallCaps w:val="0"/>
          <w:strike w:val="0"/>
          <w:u w:val="none"/>
        </w:rPr>
        <w:t xml:space="preserve">” </w:t>
      </w:r>
      <w:r>
        <w:rPr>
          <w:b w:val="0"/>
          <w:i/>
          <w:smallCaps w:val="0"/>
          <w:strike w:val="0"/>
          <w:u w:val="none"/>
        </w:rPr>
        <w:t>Journal of Intellectual Property</w:t>
      </w:r>
      <w:r>
        <w:rPr>
          <w:b w:val="0"/>
          <w:i w:val="0"/>
          <w:smallCaps w:val="0"/>
          <w:strike w:val="0"/>
          <w:u w:val="none"/>
        </w:rPr>
        <w:t xml:space="preserve">, 28(1), p. 289, Lexis, kav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Currently, the </w:t>
      </w:r>
      <w:r>
        <w:rPr>
          <w:b w:val="0"/>
          <w:i w:val="0"/>
          <w:smallCaps w:val="0"/>
          <w:strike w:val="0"/>
          <w:sz w:val="22"/>
          <w:u w:val="single"/>
        </w:rPr>
        <w:t>law regarding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production, sale, and use of recreational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marijuana is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state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tension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 Despite a general prohibition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under both United States federal law and international conventions, some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nations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within the United States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begun to legalize marijuana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u w:val="single"/>
        </w:rPr>
        <w:t>recreational 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federal government refuses to extend trademark protections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businesses engaging in </w:t>
      </w:r>
      <w:r>
        <w:rPr>
          <w:b/>
          <w:i w:val="0"/>
          <w:smallCaps w:val="0"/>
          <w:strike w:val="0"/>
          <w:sz w:val="22"/>
          <w:u w:val="single"/>
        </w:rPr>
        <w:t>production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sale of marijuana against federal law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even if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businesses are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full compliance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local state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law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>. The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[*289] however,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provide at least </w:t>
      </w:r>
      <w:r>
        <w:rPr>
          <w:b/>
          <w:i w:val="0"/>
          <w:smallCaps w:val="0"/>
          <w:strike w:val="0"/>
          <w:sz w:val="22"/>
          <w:u w:val="single"/>
        </w:rPr>
        <w:t>some level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protection for marijuana businesses under state law and common provisions for trademark protection. Because the </w:t>
      </w:r>
      <w:r>
        <w:rPr>
          <w:b/>
          <w:i w:val="0"/>
          <w:smallCaps w:val="0"/>
          <w:strike w:val="0"/>
          <w:sz w:val="22"/>
          <w:u w:val="single"/>
        </w:rPr>
        <w:t>authority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grant and protect these trademarks lies in state hands, it is </w:t>
      </w:r>
      <w:r>
        <w:rPr>
          <w:b/>
          <w:i w:val="0"/>
          <w:smallCaps w:val="0"/>
          <w:strike w:val="0"/>
          <w:sz w:val="22"/>
          <w:u w:val="single"/>
        </w:rPr>
        <w:t>theoretically possible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state government could show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favoritism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local applicants over foreign citizens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potential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violation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United States' treaty obligations under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TRIPS agreement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However, states and nations that have legalized marijuana use have cautiously crafted their laws to avoid a cross-border market. This indicates that a dispute of marijuana-related intellectual property is unlikely to grow beyond a single jurisdiction. Furthermore, because dispute settlement under TRIPS requires a state party to bring a complaint and because state parties have so far remained cautious to avoid international entanglements involving their marijuana laws, it is extremely unlikely that any state party would seek TRIPS arbitration.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Inconsistent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marijuana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between state and federal governments arguably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create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tensions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between state laws and the United States' treaty obligations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However,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due to the </w:t>
      </w:r>
      <w:r>
        <w:rPr>
          <w:b/>
          <w:i w:val="0"/>
          <w:smallCaps w:val="0"/>
          <w:strike w:val="0"/>
          <w:sz w:val="22"/>
          <w:u w:val="single"/>
        </w:rPr>
        <w:t>practical realities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legalized marijuana within and outside of the United States,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it is unlikely that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dispute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would arise at this time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