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It’s a plethora of </w:t>
      </w:r>
      <w:r>
        <w:rPr>
          <w:b/>
          <w:i w:val="0"/>
          <w:smallCaps w:val="0"/>
          <w:strike w:val="0"/>
          <w:sz w:val="26"/>
          <w:u w:val="single"/>
        </w:rPr>
        <w:t>laws</w:t>
      </w:r>
      <w:r>
        <w:rPr>
          <w:b/>
          <w:i w:val="0"/>
          <w:smallCaps w:val="0"/>
          <w:strike w:val="0"/>
          <w:sz w:val="26"/>
          <w:u w:val="none"/>
        </w:rPr>
        <w:t xml:space="preserve"> and agencies. 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Paul D. </w:t>
      </w:r>
      <w:r>
        <w:rPr>
          <w:b/>
          <w:i w:val="0"/>
          <w:smallCaps w:val="0"/>
          <w:strike w:val="0"/>
          <w:sz w:val="26"/>
          <w:u w:val="none"/>
        </w:rPr>
        <w:t>Supnik</w:t>
      </w:r>
      <w:r>
        <w:rPr>
          <w:b/>
          <w:i w:val="0"/>
          <w:smallCaps w:val="0"/>
          <w:strike w:val="0"/>
          <w:sz w:val="26"/>
          <w:u w:val="none"/>
        </w:rPr>
        <w:t xml:space="preserve"> 2K</w:t>
      </w:r>
      <w:r>
        <w:rPr>
          <w:b w:val="0"/>
          <w:i w:val="0"/>
          <w:smallCaps w:val="0"/>
          <w:strike w:val="0"/>
          <w:u w:val="none"/>
        </w:rPr>
        <w:t xml:space="preserve">, past Chair of the Association’s Intellectual Property and Entertainment Law Section, May 2000, “Check Marks,” </w:t>
      </w:r>
      <w:r>
        <w:rPr>
          <w:b w:val="0"/>
          <w:i/>
          <w:smallCaps w:val="0"/>
          <w:strike w:val="0"/>
          <w:u w:val="none"/>
        </w:rPr>
        <w:t>Los Angeles Lawyer</w:t>
      </w:r>
      <w:r>
        <w:rPr>
          <w:b w:val="0"/>
          <w:i w:val="0"/>
          <w:smallCaps w:val="0"/>
          <w:strike w:val="0"/>
          <w:u w:val="none"/>
        </w:rPr>
        <w:t>, Vol. 23, Lexis, kav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Such considerations regarding the product's expected life are merely one area in which a trademark audit will involve the broader issue of the company's plans.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Trademark protection involves a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plethora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of </w:t>
      </w:r>
      <w:r>
        <w:rPr>
          <w:b/>
          <w:i w:val="0"/>
          <w:smallCaps w:val="0"/>
          <w:strike w:val="0"/>
          <w:sz w:val="22"/>
          <w:u w:val="single"/>
        </w:rPr>
        <w:t xml:space="preserve">trademark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laws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u w:val="single"/>
        </w:rPr>
        <w:t xml:space="preserve">enforcement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agencies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around the world.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Federal and foreign registrations are typical, but for some marks state registrations are also beneficial. 2 Additionally, many companies have a variety of marks and markets.</w:t>
      </w:r>
    </w:p>
    <w:p>
      <w:pPr>
        <w:pStyle w:val="Caption"/>
      </w:pPr>
      <w:r>
        <w:t>Source: Marijuana - Michigan 7 2024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