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It's through all levels of government.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Harriet Bryant 23, Winter 2023, “Trademark Law – Ninth Circuit Interpretation Signals Right of Priority to Foreign Applicants Under the Madrid Protocol,” </w:t>
      </w:r>
      <w:r>
        <w:rPr>
          <w:b w:val="0"/>
          <w:i/>
          <w:smallCaps w:val="0"/>
          <w:strike w:val="0"/>
          <w:u w:val="none"/>
        </w:rPr>
        <w:t>Suffolk Transnational Law Review</w:t>
      </w:r>
      <w:r>
        <w:rPr>
          <w:b w:val="0"/>
          <w:i w:val="0"/>
          <w:smallCaps w:val="0"/>
          <w:strike w:val="0"/>
          <w:u w:val="none"/>
        </w:rPr>
        <w:t>, Vol. 46, Footnote 1, Lexis, kav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See Lodestar </w:t>
      </w:r>
      <w:r>
        <w:rPr>
          <w:b w:val="0"/>
          <w:i w:val="0"/>
          <w:smallCaps w:val="0"/>
          <w:strike w:val="0"/>
          <w:sz w:val="16"/>
          <w:u w:val="none"/>
        </w:rPr>
        <w:t>Anstalt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v. Bacardi &amp; Co., 31 F.4th 1228, 1236 (9th Cir. 2022) (quoting B&amp;B Hardware, Inc. v. Hargis Indus., Inc., 575 U.S. 138, 142 (2015)). See also Minde Glenn Browning, International Trademark Law: A Pathfinder and Selected Bibliography, 4 IND. INT'L &amp; COMP. L. REV. 339, 339-40 (1994) (generalizing fundamental purpose of trademarks).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Businesses have come to rely on trademarks as a means of </w:t>
      </w:r>
      <w:r>
        <w:rPr>
          <w:b/>
          <w:i w:val="0"/>
          <w:smallCaps w:val="0"/>
          <w:strike w:val="0"/>
          <w:sz w:val="22"/>
          <w:u w:val="single"/>
        </w:rPr>
        <w:t>establishing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their reputation and distinguishing </w:t>
      </w:r>
      <w:r>
        <w:rPr>
          <w:b w:val="0"/>
          <w:i w:val="0"/>
          <w:smallCaps w:val="0"/>
          <w:strike w:val="0"/>
          <w:sz w:val="22"/>
          <w:u w:val="single"/>
        </w:rPr>
        <w:t>its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products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from a competitor.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Id. at 339.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U.S. trademarks are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generally protected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by multiple means, including state common law, federal and state statutes, and federal and state registrations.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Id. at 339-40. As businesses have expanded geographically beyond national borders, the emergence of international systems of protections have sought to create a uniform system </w:t>
      </w:r>
      <w:r>
        <w:rPr>
          <w:b w:val="0"/>
          <w:i w:val="0"/>
          <w:smallCaps w:val="0"/>
          <w:strike w:val="0"/>
          <w:sz w:val="16"/>
          <w:u w:val="none"/>
        </w:rPr>
        <w:t>in order to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simplify protections that are inherently governed by the laws of individual countries. Id. at 340.</w:t>
      </w:r>
    </w:p>
    <w:p>
      <w:pPr>
        <w:pStyle w:val="Caption"/>
      </w:pPr>
      <w:r>
        <w:t>Source: Marijuana - Michigan 7 2024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