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Thumped---lawful use requirement brings in litigation</w:t>
      </w:r>
      <w:r>
        <w:rPr>
          <w:b/>
          <w:i w:val="0"/>
          <w:smallCaps w:val="0"/>
          <w:strike w:val="0"/>
          <w:sz w:val="26"/>
          <w:u w:val="none"/>
        </w:rPr>
        <w:t xml:space="preserve"> over the ‘use in commerce’ requirement</w:t>
      </w:r>
      <w:r>
        <w:rPr>
          <w:b/>
          <w:i w:val="0"/>
          <w:smallCaps w:val="0"/>
          <w:strike w:val="0"/>
          <w:sz w:val="26"/>
          <w:u w:val="none"/>
        </w:rPr>
        <w:t xml:space="preserve"> </w:t>
      </w:r>
      <w:r>
        <w:rPr>
          <w:b/>
          <w:i w:val="0"/>
          <w:smallCaps w:val="0"/>
          <w:strike w:val="0"/>
          <w:sz w:val="26"/>
          <w:u w:val="single"/>
        </w:rPr>
        <w:t>this</w:t>
      </w:r>
      <w:r>
        <w:rPr>
          <w:b/>
          <w:i w:val="0"/>
          <w:smallCaps w:val="0"/>
          <w:strike w:val="0"/>
          <w:sz w:val="26"/>
          <w:u w:val="none"/>
        </w:rPr>
        <w:t xml:space="preserve"> year. </w:t>
      </w:r>
    </w:p>
    <w:p>
      <w:pPr>
        <w:spacing w:after="80"/>
      </w:pPr>
      <w:r>
        <w:rPr>
          <w:b w:val="0"/>
          <w:i w:val="0"/>
          <w:smallCaps w:val="0"/>
          <w:strike w:val="0"/>
          <w:u w:val="none"/>
        </w:rPr>
        <w:t xml:space="preserve">Preetha </w:t>
      </w:r>
      <w:r>
        <w:rPr>
          <w:b/>
          <w:i w:val="0"/>
          <w:smallCaps w:val="0"/>
          <w:strike w:val="0"/>
          <w:sz w:val="26"/>
          <w:u w:val="none"/>
        </w:rPr>
        <w:t>Chakrabarti 24</w:t>
      </w:r>
      <w:r>
        <w:rPr>
          <w:b w:val="0"/>
          <w:i w:val="0"/>
          <w:smallCaps w:val="0"/>
          <w:strike w:val="0"/>
          <w:u w:val="none"/>
        </w:rPr>
        <w:t xml:space="preserve">, </w:t>
      </w:r>
      <w:r>
        <w:rPr>
          <w:b w:val="0"/>
          <w:i w:val="0"/>
          <w:smallCaps w:val="0"/>
          <w:strike w:val="0"/>
          <w:u w:val="none"/>
        </w:rPr>
        <w:t xml:space="preserve">partner at Cromwell LLP, member of the firms Tech &amp; IP Department, MA from Columbia, JD from Fordham, BA from Brown, </w:t>
      </w:r>
      <w:r>
        <w:rPr>
          <w:b w:val="0"/>
          <w:i w:val="0"/>
          <w:smallCaps w:val="0"/>
          <w:strike w:val="0"/>
          <w:u w:val="none"/>
        </w:rPr>
        <w:t xml:space="preserve">1/10/2024, “Trademarks: Two Landmark Decisions From 2023 Will Continue to Raise Questions in 2024 and Beyond,” </w:t>
      </w:r>
      <w:r>
        <w:rPr>
          <w:b w:val="0"/>
          <w:i w:val="0"/>
          <w:smallCaps w:val="0"/>
          <w:strike w:val="0"/>
          <w:u w:val="none"/>
        </w:rPr>
        <w:t>https://www.crowell.com/en/insights/publications/two-landmark-decisions-from-2023-will-continue-to-raise-questions-in-2024-and-beyond</w:t>
      </w:r>
      <w:r>
        <w:rPr>
          <w:b w:val="0"/>
          <w:i w:val="0"/>
          <w:smallCaps w:val="0"/>
          <w:strike w:val="0"/>
          <w:u w:val="none"/>
        </w:rPr>
        <w:t>, kav</w:t>
      </w:r>
    </w:p>
    <w:p>
      <w:pPr>
        <w:spacing w:after="60"/>
      </w:pPr>
      <w:r>
        <w:rPr>
          <w:b w:val="0"/>
          <w:i w:val="0"/>
          <w:smallCaps w:val="0"/>
          <w:strike w:val="0"/>
          <w:sz w:val="16"/>
          <w:u w:val="none"/>
        </w:rPr>
        <w:t xml:space="preserve">A </w:t>
      </w:r>
      <w:r>
        <w:rPr>
          <w:b w:val="0"/>
          <w:i w:val="0"/>
          <w:smallCaps w:val="0"/>
          <w:strike w:val="0"/>
          <w:sz w:val="22"/>
          <w:u w:val="single"/>
        </w:rPr>
        <w:t xml:space="preserve">2023 U.S. </w:t>
      </w:r>
      <w:r>
        <w:rPr>
          <w:b w:val="0"/>
          <w:i w:val="0"/>
          <w:smallCaps w:val="0"/>
          <w:strike w:val="0"/>
          <w:sz w:val="22"/>
          <w:highlight w:val="cyan"/>
          <w:u w:val="single"/>
        </w:rPr>
        <w:t>Supreme Court decision</w:t>
      </w:r>
      <w:r>
        <w:rPr>
          <w:b w:val="0"/>
          <w:i w:val="0"/>
          <w:smallCaps w:val="0"/>
          <w:strike w:val="0"/>
          <w:sz w:val="22"/>
          <w:u w:val="single"/>
        </w:rPr>
        <w:t xml:space="preserve"> </w:t>
      </w:r>
      <w:r>
        <w:rPr>
          <w:b/>
          <w:i w:val="0"/>
          <w:smallCaps w:val="0"/>
          <w:strike w:val="0"/>
          <w:sz w:val="22"/>
          <w:u w:val="single"/>
        </w:rPr>
        <w:t>limiting</w:t>
      </w:r>
      <w:r>
        <w:rPr>
          <w:b w:val="0"/>
          <w:i w:val="0"/>
          <w:smallCaps w:val="0"/>
          <w:strike w:val="0"/>
          <w:sz w:val="22"/>
          <w:u w:val="single"/>
        </w:rPr>
        <w:t xml:space="preserve"> the reach of U.S. trademark law outside of the country </w:t>
      </w:r>
      <w:r>
        <w:rPr>
          <w:b w:val="0"/>
          <w:i w:val="0"/>
          <w:smallCaps w:val="0"/>
          <w:strike w:val="0"/>
          <w:sz w:val="22"/>
          <w:highlight w:val="cyan"/>
          <w:u w:val="single"/>
        </w:rPr>
        <w:t>could lead to</w:t>
      </w:r>
      <w:r>
        <w:rPr>
          <w:b w:val="0"/>
          <w:i w:val="0"/>
          <w:smallCaps w:val="0"/>
          <w:strike w:val="0"/>
          <w:sz w:val="22"/>
          <w:u w:val="single"/>
        </w:rPr>
        <w:t xml:space="preserve"> </w:t>
      </w:r>
      <w:r>
        <w:rPr>
          <w:b/>
          <w:i w:val="0"/>
          <w:smallCaps w:val="0"/>
          <w:strike w:val="0"/>
          <w:sz w:val="22"/>
          <w:u w:val="single"/>
        </w:rPr>
        <w:t xml:space="preserve">further </w:t>
      </w:r>
      <w:r>
        <w:rPr>
          <w:b/>
          <w:i w:val="0"/>
          <w:smallCaps w:val="0"/>
          <w:strike w:val="0"/>
          <w:sz w:val="22"/>
          <w:highlight w:val="cyan"/>
          <w:u w:val="single"/>
        </w:rPr>
        <w:t>litigation</w:t>
      </w:r>
      <w:r>
        <w:rPr>
          <w:b w:val="0"/>
          <w:i w:val="0"/>
          <w:smallCaps w:val="0"/>
          <w:strike w:val="0"/>
          <w:sz w:val="22"/>
          <w:highlight w:val="cyan"/>
          <w:u w:val="single"/>
        </w:rPr>
        <w:t xml:space="preserve"> by trademark holders</w:t>
      </w:r>
      <w:r>
        <w:rPr>
          <w:b w:val="0"/>
          <w:i w:val="0"/>
          <w:smallCaps w:val="0"/>
          <w:strike w:val="0"/>
          <w:sz w:val="22"/>
          <w:u w:val="single"/>
        </w:rPr>
        <w:t xml:space="preserve"> looking to </w:t>
      </w:r>
      <w:r>
        <w:rPr>
          <w:b/>
          <w:i w:val="0"/>
          <w:smallCaps w:val="0"/>
          <w:strike w:val="0"/>
          <w:sz w:val="22"/>
          <w:u w:val="single"/>
        </w:rPr>
        <w:t>push back</w:t>
      </w:r>
      <w:r>
        <w:rPr>
          <w:b w:val="0"/>
          <w:i w:val="0"/>
          <w:smallCaps w:val="0"/>
          <w:strike w:val="0"/>
          <w:sz w:val="22"/>
          <w:u w:val="single"/>
        </w:rPr>
        <w:t xml:space="preserve"> on those boundaries</w:t>
      </w:r>
      <w:r>
        <w:rPr>
          <w:b w:val="0"/>
          <w:i w:val="0"/>
          <w:smallCaps w:val="0"/>
          <w:strike w:val="0"/>
          <w:sz w:val="16"/>
          <w:u w:val="none"/>
        </w:rPr>
        <w:t>, says Crowell &amp; Moring partner Preetha Chakrabarti, a member of the firm’s Technology &amp; Intellectual Property Department and the Advertising &amp; Brand Protection Group.</w:t>
      </w:r>
    </w:p>
    <w:p>
      <w:pPr>
        <w:spacing w:after="60"/>
      </w:pPr>
      <w:r>
        <w:rPr>
          <w:b w:val="0"/>
          <w:i w:val="0"/>
          <w:smallCaps w:val="0"/>
          <w:strike w:val="0"/>
          <w:sz w:val="16"/>
          <w:u w:val="none"/>
        </w:rPr>
        <w:t xml:space="preserve">In </w:t>
      </w:r>
      <w:r>
        <w:rPr>
          <w:b w:val="0"/>
          <w:i w:val="0"/>
          <w:smallCaps w:val="0"/>
          <w:strike w:val="0"/>
          <w:sz w:val="16"/>
          <w:u w:val="none"/>
        </w:rPr>
        <w:t>Abitron</w:t>
      </w:r>
      <w:r>
        <w:rPr>
          <w:b w:val="0"/>
          <w:i w:val="0"/>
          <w:smallCaps w:val="0"/>
          <w:strike w:val="0"/>
          <w:sz w:val="16"/>
          <w:u w:val="none"/>
        </w:rPr>
        <w:t xml:space="preserve"> v. </w:t>
      </w:r>
      <w:r>
        <w:rPr>
          <w:b w:val="0"/>
          <w:i w:val="0"/>
          <w:smallCaps w:val="0"/>
          <w:strike w:val="0"/>
          <w:sz w:val="16"/>
          <w:u w:val="none"/>
        </w:rPr>
        <w:t>Hetronic</w:t>
      </w:r>
      <w:r>
        <w:rPr>
          <w:b w:val="0"/>
          <w:i w:val="0"/>
          <w:smallCaps w:val="0"/>
          <w:strike w:val="0"/>
          <w:sz w:val="16"/>
          <w:u w:val="none"/>
        </w:rPr>
        <w:t>, the high court vacated $96 million of a $115 million jury award for an American manufacturer that had sued former distributors who sold knockoff versions of its industrial radio remote controls—using its distinctive yellow-and-black design—primarily in foreign countries.</w:t>
      </w:r>
    </w:p>
    <w:p>
      <w:pPr>
        <w:spacing w:after="60"/>
      </w:pPr>
      <w:r>
        <w:rPr>
          <w:b w:val="0"/>
          <w:i w:val="0"/>
          <w:smallCaps w:val="0"/>
          <w:strike w:val="0"/>
          <w:sz w:val="16"/>
          <w:u w:val="none"/>
        </w:rPr>
        <w:t xml:space="preserve">The overall decision was a unanimous one, with all justices agreeing that Congress did not intend the U.S. trademark statute—the Lanham Act— to apply extraterritorially. That’s consistent with the court’s recent holdings that, in general, </w:t>
      </w:r>
      <w:r>
        <w:rPr>
          <w:b w:val="0"/>
          <w:i w:val="0"/>
          <w:smallCaps w:val="0"/>
          <w:strike w:val="0"/>
          <w:sz w:val="22"/>
          <w:highlight w:val="cyan"/>
          <w:u w:val="single"/>
        </w:rPr>
        <w:t>statutes</w:t>
      </w:r>
      <w:r>
        <w:rPr>
          <w:b w:val="0"/>
          <w:i w:val="0"/>
          <w:smallCaps w:val="0"/>
          <w:strike w:val="0"/>
          <w:sz w:val="22"/>
          <w:u w:val="single"/>
        </w:rPr>
        <w:t xml:space="preserve"> should </w:t>
      </w:r>
      <w:r>
        <w:rPr>
          <w:b w:val="0"/>
          <w:i w:val="0"/>
          <w:smallCaps w:val="0"/>
          <w:strike w:val="0"/>
          <w:sz w:val="22"/>
          <w:highlight w:val="cyan"/>
          <w:u w:val="single"/>
        </w:rPr>
        <w:t xml:space="preserve">only apply </w:t>
      </w:r>
      <w:r>
        <w:rPr>
          <w:b/>
          <w:i w:val="0"/>
          <w:smallCaps w:val="0"/>
          <w:strike w:val="0"/>
          <w:sz w:val="22"/>
          <w:highlight w:val="cyan"/>
          <w:u w:val="single"/>
        </w:rPr>
        <w:t>domestically</w:t>
      </w:r>
      <w:r>
        <w:rPr>
          <w:b w:val="0"/>
          <w:i w:val="0"/>
          <w:smallCaps w:val="0"/>
          <w:strike w:val="0"/>
          <w:sz w:val="22"/>
          <w:u w:val="single"/>
        </w:rPr>
        <w:t xml:space="preserve">, absent explicit instruction by Congress that they should apply </w:t>
      </w:r>
      <w:r>
        <w:rPr>
          <w:b/>
          <w:i w:val="0"/>
          <w:smallCaps w:val="0"/>
          <w:strike w:val="0"/>
          <w:sz w:val="22"/>
          <w:u w:val="single"/>
        </w:rPr>
        <w:t>overseas</w:t>
      </w:r>
      <w:r>
        <w:rPr>
          <w:b w:val="0"/>
          <w:i w:val="0"/>
          <w:smallCaps w:val="0"/>
          <w:strike w:val="0"/>
          <w:sz w:val="22"/>
          <w:u w:val="single"/>
        </w:rPr>
        <w:t>.</w:t>
      </w:r>
    </w:p>
    <w:p>
      <w:pPr>
        <w:spacing w:after="60"/>
      </w:pPr>
      <w:r>
        <w:rPr>
          <w:b w:val="0"/>
          <w:i w:val="0"/>
          <w:smallCaps w:val="0"/>
          <w:strike w:val="0"/>
          <w:sz w:val="16"/>
          <w:u w:val="none"/>
        </w:rPr>
        <w:t>However, the justices split on exactly how to determine whether trademark infringement occurred domestically or overseas. The majority opinion held that the U.S. statute applies to a trademark’s unauthorized “use in commerce” in the U.S.</w:t>
      </w:r>
    </w:p>
    <w:p>
      <w:pPr>
        <w:spacing w:after="60"/>
      </w:pPr>
      <w:r>
        <w:rPr>
          <w:b w:val="0"/>
          <w:i w:val="0"/>
          <w:smallCaps w:val="0"/>
          <w:strike w:val="0"/>
          <w:sz w:val="16"/>
          <w:u w:val="none"/>
        </w:rPr>
        <w:t>A concurrence, signed by three justices, said the Lanham Act should apply whenever “there is a likelihood of consumer confusion in the U.S.”</w:t>
      </w:r>
    </w:p>
    <w:p>
      <w:pPr>
        <w:spacing w:after="60"/>
      </w:pPr>
      <w:r>
        <w:rPr>
          <w:b w:val="0"/>
          <w:i w:val="0"/>
          <w:smallCaps w:val="0"/>
          <w:strike w:val="0"/>
          <w:sz w:val="16"/>
          <w:u w:val="none"/>
        </w:rPr>
        <w:t>Finally, Justice Ketanji Brown Jackson issued her own opinion, agreeing with the majority but raising the issue of how to determine where the “use in commerce” occurred, which can be complicated in today’s global marketplace, where a single good could be manufactured, sold, purchased, used, and resold, all in different countries.</w:t>
      </w:r>
    </w:p>
    <w:p>
      <w:pPr>
        <w:spacing w:after="60"/>
      </w:pPr>
      <w:r>
        <w:rPr>
          <w:b w:val="0"/>
          <w:i w:val="0"/>
          <w:smallCaps w:val="0"/>
          <w:strike w:val="0"/>
          <w:sz w:val="16"/>
          <w:u w:val="none"/>
        </w:rPr>
        <w:t xml:space="preserve">When the Supreme Court first agreed in late 2022 to take up </w:t>
      </w:r>
      <w:r>
        <w:rPr>
          <w:b w:val="0"/>
          <w:i w:val="0"/>
          <w:smallCaps w:val="0"/>
          <w:strike w:val="0"/>
          <w:sz w:val="16"/>
          <w:u w:val="none"/>
        </w:rPr>
        <w:t>Abitron</w:t>
      </w:r>
      <w:r>
        <w:rPr>
          <w:b w:val="0"/>
          <w:i w:val="0"/>
          <w:smallCaps w:val="0"/>
          <w:strike w:val="0"/>
          <w:sz w:val="16"/>
          <w:u w:val="none"/>
        </w:rPr>
        <w:t xml:space="preserve"> v. </w:t>
      </w:r>
      <w:r>
        <w:rPr>
          <w:b w:val="0"/>
          <w:i w:val="0"/>
          <w:smallCaps w:val="0"/>
          <w:strike w:val="0"/>
          <w:sz w:val="16"/>
          <w:u w:val="none"/>
        </w:rPr>
        <w:t>Hetronic</w:t>
      </w:r>
      <w:r>
        <w:rPr>
          <w:b w:val="0"/>
          <w:i w:val="0"/>
          <w:smallCaps w:val="0"/>
          <w:strike w:val="0"/>
          <w:sz w:val="16"/>
          <w:u w:val="none"/>
        </w:rPr>
        <w:t>, there was hope that its decision would finally clear up the issue of how U.S. trademark law applies in an international context, says Chakrabarti. At the time, federal appeals courts were deeply split, with at least three different tests being applied to determine extraterritorial application among the circuits.</w:t>
      </w:r>
    </w:p>
    <w:p>
      <w:pPr>
        <w:spacing w:after="60"/>
      </w:pPr>
      <w:r>
        <w:rPr>
          <w:b w:val="0"/>
          <w:i w:val="0"/>
          <w:smallCaps w:val="0"/>
          <w:strike w:val="0"/>
          <w:sz w:val="16"/>
          <w:u w:val="none"/>
        </w:rPr>
        <w:t xml:space="preserve">“In some ways, though, the </w:t>
      </w:r>
      <w:r>
        <w:rPr>
          <w:b w:val="0"/>
          <w:i w:val="0"/>
          <w:smallCaps w:val="0"/>
          <w:strike w:val="0"/>
          <w:sz w:val="22"/>
          <w:u w:val="single"/>
        </w:rPr>
        <w:t xml:space="preserve">Supreme Court’s </w:t>
      </w:r>
      <w:r>
        <w:rPr>
          <w:b w:val="0"/>
          <w:i w:val="0"/>
          <w:smallCaps w:val="0"/>
          <w:strike w:val="0"/>
          <w:sz w:val="22"/>
          <w:highlight w:val="cyan"/>
          <w:u w:val="single"/>
        </w:rPr>
        <w:t>decision leaves some</w:t>
      </w:r>
      <w:r>
        <w:rPr>
          <w:b w:val="0"/>
          <w:i w:val="0"/>
          <w:smallCaps w:val="0"/>
          <w:strike w:val="0"/>
          <w:sz w:val="22"/>
          <w:u w:val="single"/>
        </w:rPr>
        <w:t xml:space="preserve"> </w:t>
      </w:r>
      <w:r>
        <w:rPr>
          <w:b/>
          <w:i w:val="0"/>
          <w:smallCaps w:val="0"/>
          <w:strike w:val="0"/>
          <w:sz w:val="22"/>
          <w:u w:val="single"/>
        </w:rPr>
        <w:t>important</w:t>
      </w:r>
      <w:r>
        <w:rPr>
          <w:b w:val="0"/>
          <w:i w:val="0"/>
          <w:smallCaps w:val="0"/>
          <w:strike w:val="0"/>
          <w:sz w:val="22"/>
          <w:u w:val="single"/>
        </w:rPr>
        <w:t xml:space="preserve">, </w:t>
      </w:r>
      <w:r>
        <w:rPr>
          <w:b/>
          <w:i w:val="0"/>
          <w:smallCaps w:val="0"/>
          <w:strike w:val="0"/>
          <w:sz w:val="22"/>
          <w:highlight w:val="cyan"/>
          <w:u w:val="single"/>
        </w:rPr>
        <w:t>unresolved</w:t>
      </w:r>
      <w:r>
        <w:rPr>
          <w:b w:val="0"/>
          <w:i w:val="0"/>
          <w:smallCaps w:val="0"/>
          <w:strike w:val="0"/>
          <w:sz w:val="22"/>
          <w:highlight w:val="cyan"/>
          <w:u w:val="single"/>
        </w:rPr>
        <w:t xml:space="preserve"> questions</w:t>
      </w:r>
      <w:r>
        <w:rPr>
          <w:b w:val="0"/>
          <w:i w:val="0"/>
          <w:smallCaps w:val="0"/>
          <w:strike w:val="0"/>
          <w:sz w:val="22"/>
          <w:u w:val="single"/>
        </w:rPr>
        <w:t xml:space="preserve">,” Chakrabarti says. “I think </w:t>
      </w:r>
      <w:r>
        <w:rPr>
          <w:b w:val="0"/>
          <w:i w:val="0"/>
          <w:smallCaps w:val="0"/>
          <w:strike w:val="0"/>
          <w:sz w:val="22"/>
          <w:highlight w:val="cyan"/>
          <w:u w:val="single"/>
        </w:rPr>
        <w:t>we’re going to see more litigation over the phrase ‘use in commerce’ going forward</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