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Democratic candidates lead now---</w:t>
      </w:r>
      <w:r>
        <w:rPr>
          <w:b/>
          <w:i w:val="0"/>
          <w:smallCaps w:val="0"/>
          <w:strike w:val="0"/>
          <w:sz w:val="26"/>
          <w:u w:val="single"/>
        </w:rPr>
        <w:t>Polls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Rivers and Bialik 7-15</w:t>
      </w:r>
      <w:r>
        <w:rPr>
          <w:b w:val="0"/>
          <w:i w:val="0"/>
          <w:smallCaps w:val="0"/>
          <w:strike w:val="0"/>
          <w:u w:val="none"/>
        </w:rPr>
        <w:t xml:space="preserve"> [Douglas and Carl; Douglas Rivers is a Chief Scientist, Carl Bialik is the U.S. Politics Editor and Vice President of Data Science; 7-15-2024; “Times/SAY24 swing-state polls show Biden trailing and Democratic Senate candidates leading”; https://today.yougov.com/politics/articles/50061-postdebate-times-say24-swing-state-polls-biden-trails-democratic-senate-candidates-lead] Vikrant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positive news for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Democrats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poll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the performance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Senate candidates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same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 are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Senate races 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Arizona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Michigan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Nevada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Pennsylvania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Wisconsin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year. In each state a Democrat holds the seat now; two are open races and three seats are being defended by incumbent Democrats. And in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each state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Democratic candidate is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running ahead of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Biden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while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leading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Republican opponent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margin of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at least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7 points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