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b. Intangible assets crowd out drug development.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Fernandez and Klinge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April 20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[Rodrigo, Ph.D., Researcher, SOMO; Tobias J., Ph.D. Candidate, University of Leuven; “The financialization of Big Pharma,” pp. 30-31, Centre for Research on Multinational Corporations (SOMO),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combined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value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intangible assets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balance sheet of 27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 the largest pharma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ceutical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has increased from 13 per cent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total assets in 2000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51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per cent in 2018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standing at a staggering US$857 billion dollars.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expansion of intangibles is an important aspect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financialisation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Big Pharma. It shows how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sector has transformed itself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generating revenue through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developing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producing and selling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drugs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receiving income from owning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monopolising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ntellectual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roperty. The large companies have spent years buying up competitors and biotechnology companies to boost pipelines, diminish competition and secure IPRs.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a result, Big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increasingly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operates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like a financial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actor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industrial sector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