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d. Fragility imperils future development.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Fernandez and Klinge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April 20</w:t>
      </w:r>
      <w:r>
        <w:rPr>
          <w:b/>
          <w:i w:val="0"/>
          <w:smallCaps w:val="0"/>
          <w:strike w:val="0"/>
          <w:sz w:val="26"/>
          <w:u w:val="none"/>
        </w:rPr>
        <w:t>20</w:t>
      </w:r>
      <w:r>
        <w:rPr>
          <w:b w:val="0"/>
          <w:i w:val="0"/>
          <w:smallCaps w:val="0"/>
          <w:strike w:val="0"/>
          <w:sz w:val="22"/>
          <w:u w:val="none"/>
        </w:rPr>
        <w:t xml:space="preserve">. [Rodrigo, Ph.D., Researcher, SOMO; Tobias J., Ph.D. Candidate, University of Leuven; “The financialization of Big Pharma,” pp. 30-31, Centre for Research on Multinational Corporations (SOMO), 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//</w:t>
      </w:r>
      <w:r>
        <w:rPr>
          <w:b w:val="0"/>
          <w:i w:val="0"/>
          <w:smallCaps w:val="0"/>
          <w:strike w:val="0"/>
          <w:sz w:val="22"/>
          <w:u w:val="none"/>
        </w:rPr>
        <w:t>cpsw</w:t>
      </w:r>
      <w:r>
        <w:rPr>
          <w:b w:val="0"/>
          <w:i w:val="0"/>
          <w:smallCaps w:val="0"/>
          <w:strike w:val="0"/>
          <w:sz w:val="22"/>
          <w:u w:val="none"/>
        </w:rPr>
        <w:t>-ay]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As a result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their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higher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level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indebtedness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strategic dependence on M&amp;As,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pharma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ceutical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companies have become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more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exposed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– and thus vulnerable –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to capital market developments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 they pursue their </w:t>
      </w:r>
      <w:r>
        <w:rPr>
          <w:b w:val="0"/>
          <w:i w:val="0"/>
          <w:smallCaps w:val="0"/>
          <w:strike w:val="0"/>
          <w:sz w:val="22"/>
          <w:u w:val="single"/>
        </w:rPr>
        <w:t>financialised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model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 current environment of extremely low interest rates and rising stock market valuations has </w:t>
      </w:r>
      <w:r>
        <w:rPr>
          <w:b w:val="0"/>
          <w:i w:val="0"/>
          <w:smallCaps w:val="0"/>
          <w:strike w:val="0"/>
          <w:sz w:val="16"/>
          <w:u w:val="none"/>
        </w:rPr>
        <w:t>fuelled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 boom in M&amp;As.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However, the effects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 reversal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these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market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conditons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may have 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much more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significant impact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 pharmaceutical companies than in the past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</w:t>
      </w:r>
      <w:r>
        <w:rPr>
          <w:b w:val="0"/>
          <w:i w:val="0"/>
          <w:smallCaps w:val="0"/>
          <w:strike w:val="0"/>
          <w:sz w:val="16"/>
          <w:u w:val="none"/>
        </w:rPr>
        <w:t>financialised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business model has emerged out of a specific historical environment as part of the broader process of </w:t>
      </w:r>
      <w:r>
        <w:rPr>
          <w:b w:val="0"/>
          <w:i w:val="0"/>
          <w:smallCaps w:val="0"/>
          <w:strike w:val="0"/>
          <w:sz w:val="16"/>
          <w:u w:val="none"/>
        </w:rPr>
        <w:t>financialisation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has taken shape in contemporary societies. Since the financial crisis, however paradoxically, </w:t>
      </w:r>
      <w:r>
        <w:rPr>
          <w:b w:val="0"/>
          <w:i w:val="0"/>
          <w:smallCaps w:val="0"/>
          <w:strike w:val="0"/>
          <w:sz w:val="16"/>
          <w:u w:val="none"/>
        </w:rPr>
        <w:t>financialisation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has intensified rather than weakened. The conditions of extremely low interest rates have helped companies across sectors to increase their borrowing and embarking on new cycles of M&amp;As and share buybacks.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This tightening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connection between finance 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Big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Pharma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has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increased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systemic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risk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promoting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fragile business model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that generates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high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profits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rewards shareholders and management generously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at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expense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future drug development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PTAB Harmonization Neg - Michigan 7 2024 CPSW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