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Pharma’s R&amp;D spending and ROI are </w:t>
      </w:r>
      <w:r>
        <w:rPr>
          <w:b/>
          <w:i w:val="0"/>
          <w:smallCaps w:val="0"/>
          <w:strike w:val="0"/>
          <w:sz w:val="26"/>
          <w:u w:val="single"/>
        </w:rPr>
        <w:t>high</w:t>
      </w:r>
      <w:r>
        <w:rPr>
          <w:b/>
          <w:i w:val="0"/>
          <w:smallCaps w:val="0"/>
          <w:strike w:val="0"/>
          <w:sz w:val="26"/>
          <w:u w:val="none"/>
        </w:rPr>
        <w:t xml:space="preserve"> and </w:t>
      </w:r>
      <w:r>
        <w:rPr>
          <w:b/>
          <w:i w:val="0"/>
          <w:smallCaps w:val="0"/>
          <w:strike w:val="0"/>
          <w:sz w:val="26"/>
          <w:u w:val="single"/>
        </w:rPr>
        <w:t>rising</w:t>
      </w:r>
      <w:r>
        <w:rPr>
          <w:b/>
          <w:i w:val="0"/>
          <w:smallCaps w:val="0"/>
          <w:strike w:val="0"/>
          <w:sz w:val="26"/>
          <w:u w:val="none"/>
        </w:rPr>
        <w:t>.</w:t>
      </w:r>
    </w:p>
    <w:p>
      <w:pPr>
        <w:spacing w:after="80"/>
      </w:pPr>
      <w:r>
        <w:rPr>
          <w:b/>
          <w:i w:val="0"/>
          <w:smallCaps w:val="0"/>
          <w:strike w:val="0"/>
          <w:sz w:val="26"/>
          <w:u w:val="none"/>
        </w:rPr>
        <w:t>Deloitte 4-29</w:t>
      </w:r>
      <w:r>
        <w:rPr>
          <w:b w:val="0"/>
          <w:i w:val="0"/>
          <w:smallCaps w:val="0"/>
          <w:strike w:val="0"/>
          <w:sz w:val="22"/>
          <w:u w:val="none"/>
        </w:rPr>
        <w:t xml:space="preserve">-2024. [Deloitte, multinational professional services network; “Global pharma companies’ return on R&amp;D investment increases after record low,” </w:t>
      </w:r>
      <w:r>
        <w:rPr>
          <w:b w:val="0"/>
          <w:i w:val="0"/>
          <w:smallCaps w:val="0"/>
          <w:strike w:val="0"/>
          <w:sz w:val="22"/>
          <w:u w:val="none"/>
        </w:rPr>
        <w:t xml:space="preserve"> //</w:t>
      </w:r>
      <w:r>
        <w:rPr>
          <w:b w:val="0"/>
          <w:i w:val="0"/>
          <w:smallCaps w:val="0"/>
          <w:strike w:val="0"/>
          <w:sz w:val="22"/>
          <w:u w:val="none"/>
        </w:rPr>
        <w:t>cpsw-sp</w:t>
      </w:r>
      <w:r>
        <w:rPr>
          <w:b w:val="0"/>
          <w:i w:val="0"/>
          <w:smallCaps w:val="0"/>
          <w:strike w:val="0"/>
          <w:sz w:val="22"/>
          <w:u w:val="none"/>
        </w:rPr>
        <w:t xml:space="preserve">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22"/>
          <w:highlight w:val="cyan"/>
          <w:u w:val="single"/>
        </w:rPr>
        <w:t>The</w:t>
      </w:r>
      <w:r>
        <w:rPr>
          <w:b w:val="0"/>
          <w:i w:val="0"/>
          <w:smallCaps w:val="0"/>
          <w:strike w:val="0"/>
          <w:sz w:val="22"/>
          <w:u w:val="single"/>
        </w:rPr>
        <w:t xml:space="preserve"> world’s </w:t>
      </w:r>
      <w:r>
        <w:rPr>
          <w:b w:val="0"/>
          <w:i w:val="0"/>
          <w:smallCaps w:val="0"/>
          <w:strike w:val="0"/>
          <w:sz w:val="22"/>
          <w:highlight w:val="cyan"/>
          <w:u w:val="single"/>
        </w:rPr>
        <w:t>top 20 pharma</w:t>
      </w:r>
      <w:r>
        <w:rPr>
          <w:b w:val="0"/>
          <w:i w:val="0"/>
          <w:smallCaps w:val="0"/>
          <w:strike w:val="0"/>
          <w:sz w:val="16"/>
          <w:u w:val="none"/>
        </w:rPr>
        <w:t xml:space="preserve">ceutical </w:t>
      </w:r>
      <w:r>
        <w:rPr>
          <w:b w:val="0"/>
          <w:i w:val="0"/>
          <w:smallCaps w:val="0"/>
          <w:strike w:val="0"/>
          <w:sz w:val="22"/>
          <w:highlight w:val="cyan"/>
          <w:u w:val="single"/>
        </w:rPr>
        <w:t>companies</w:t>
      </w:r>
      <w:r>
        <w:rPr>
          <w:b w:val="0"/>
          <w:i w:val="0"/>
          <w:smallCaps w:val="0"/>
          <w:strike w:val="0"/>
          <w:sz w:val="22"/>
          <w:u w:val="single"/>
        </w:rPr>
        <w:t xml:space="preserve"> collectively </w:t>
      </w:r>
      <w:r>
        <w:rPr>
          <w:b w:val="0"/>
          <w:i w:val="0"/>
          <w:smallCaps w:val="0"/>
          <w:strike w:val="0"/>
          <w:sz w:val="22"/>
          <w:highlight w:val="cyan"/>
          <w:u w:val="single"/>
        </w:rPr>
        <w:t>spent $145 billion on</w:t>
      </w:r>
      <w:r>
        <w:rPr>
          <w:b w:val="0"/>
          <w:i w:val="0"/>
          <w:smallCaps w:val="0"/>
          <w:strike w:val="0"/>
          <w:sz w:val="16"/>
          <w:u w:val="none"/>
        </w:rPr>
        <w:t xml:space="preserve"> their research and development </w:t>
      </w:r>
      <w:r>
        <w:rPr>
          <w:b w:val="0"/>
          <w:i w:val="0"/>
          <w:smallCaps w:val="0"/>
          <w:strike w:val="0"/>
          <w:sz w:val="22"/>
          <w:u w:val="single"/>
        </w:rPr>
        <w:t>(</w:t>
      </w:r>
      <w:r>
        <w:rPr>
          <w:b w:val="0"/>
          <w:i w:val="0"/>
          <w:smallCaps w:val="0"/>
          <w:strike w:val="0"/>
          <w:sz w:val="22"/>
          <w:highlight w:val="cyan"/>
          <w:u w:val="single"/>
        </w:rPr>
        <w:t>R&amp;D</w:t>
      </w:r>
      <w:r>
        <w:rPr>
          <w:b w:val="0"/>
          <w:i w:val="0"/>
          <w:smallCaps w:val="0"/>
          <w:strike w:val="0"/>
          <w:sz w:val="22"/>
          <w:u w:val="single"/>
        </w:rPr>
        <w:t xml:space="preserve">) investments </w:t>
      </w:r>
      <w:r>
        <w:rPr>
          <w:b w:val="0"/>
          <w:i w:val="0"/>
          <w:smallCaps w:val="0"/>
          <w:strike w:val="0"/>
          <w:sz w:val="22"/>
          <w:highlight w:val="cyan"/>
          <w:u w:val="single"/>
        </w:rPr>
        <w:t>in 2022-23*, up from $139 billion</w:t>
      </w:r>
      <w:r>
        <w:rPr>
          <w:b w:val="0"/>
          <w:i w:val="0"/>
          <w:smallCaps w:val="0"/>
          <w:strike w:val="0"/>
          <w:sz w:val="22"/>
          <w:u w:val="single"/>
        </w:rPr>
        <w:t xml:space="preserve"> in 2021</w:t>
      </w:r>
      <w:r>
        <w:rPr>
          <w:b w:val="0"/>
          <w:i w:val="0"/>
          <w:smallCaps w:val="0"/>
          <w:strike w:val="0"/>
          <w:sz w:val="22"/>
          <w:u w:val="single"/>
        </w:rPr>
        <w:t>-22*,</w:t>
      </w:r>
      <w:r>
        <w:rPr>
          <w:b w:val="0"/>
          <w:i w:val="0"/>
          <w:smallCaps w:val="0"/>
          <w:strike w:val="0"/>
          <w:sz w:val="16"/>
          <w:u w:val="none"/>
        </w:rPr>
        <w:t xml:space="preserve"> according to new research from Deloitte.</w:t>
      </w:r>
    </w:p>
    <w:p>
      <w:pPr>
        <w:spacing w:after="60"/>
      </w:pPr>
      <w:r>
        <w:rPr>
          <w:b w:val="0"/>
          <w:i w:val="0"/>
          <w:smallCaps w:val="0"/>
          <w:strike w:val="0"/>
          <w:sz w:val="16"/>
          <w:u w:val="none"/>
        </w:rPr>
        <w:t>The Measuring the return from pharmaceutical innovation: Unleash AI’s potential report from Deloitte, the 14th in the series, analyses the current state of R&amp;D return on investments (ROI) for a cohort of 20 leading biopharma companies. According to the study, the rise in R&amp;D spend [sic] is attributed to several factors, including more complex trial requirements, regulatory changes and the impact of inflation.</w:t>
      </w:r>
    </w:p>
    <w:p>
      <w:pPr>
        <w:spacing w:after="60"/>
      </w:pPr>
      <w:r>
        <w:rPr>
          <w:b w:val="0"/>
          <w:i w:val="0"/>
          <w:smallCaps w:val="0"/>
          <w:strike w:val="0"/>
          <w:sz w:val="22"/>
          <w:highlight w:val="cyan"/>
          <w:u w:val="single"/>
        </w:rPr>
        <w:t>When it comes to</w:t>
      </w:r>
      <w:r>
        <w:rPr>
          <w:b w:val="0"/>
          <w:i w:val="0"/>
          <w:smallCaps w:val="0"/>
          <w:strike w:val="0"/>
          <w:sz w:val="22"/>
          <w:u w:val="single"/>
        </w:rPr>
        <w:t xml:space="preserve"> the average </w:t>
      </w:r>
      <w:r>
        <w:rPr>
          <w:b w:val="0"/>
          <w:i w:val="0"/>
          <w:smallCaps w:val="0"/>
          <w:strike w:val="0"/>
          <w:sz w:val="22"/>
          <w:highlight w:val="cyan"/>
          <w:u w:val="single"/>
        </w:rPr>
        <w:t>ROI</w:t>
      </w:r>
      <w:r>
        <w:rPr>
          <w:b w:val="0"/>
          <w:i w:val="0"/>
          <w:smallCaps w:val="0"/>
          <w:strike w:val="0"/>
          <w:sz w:val="22"/>
          <w:u w:val="single"/>
        </w:rPr>
        <w:t xml:space="preserve"> for the cohort, the </w:t>
      </w:r>
      <w:r>
        <w:rPr>
          <w:b w:val="0"/>
          <w:i w:val="0"/>
          <w:smallCaps w:val="0"/>
          <w:strike w:val="0"/>
          <w:sz w:val="22"/>
          <w:highlight w:val="cyan"/>
          <w:u w:val="single"/>
        </w:rPr>
        <w:t>analysis shows an increase to 4.1 per cent in 2023, up from</w:t>
      </w:r>
      <w:r>
        <w:rPr>
          <w:b w:val="0"/>
          <w:i w:val="0"/>
          <w:smallCaps w:val="0"/>
          <w:strike w:val="0"/>
          <w:sz w:val="22"/>
          <w:u w:val="single"/>
        </w:rPr>
        <w:t xml:space="preserve"> the </w:t>
      </w:r>
      <w:r>
        <w:rPr>
          <w:b w:val="0"/>
          <w:i w:val="0"/>
          <w:smallCaps w:val="0"/>
          <w:strike w:val="0"/>
          <w:sz w:val="22"/>
          <w:highlight w:val="cyan"/>
          <w:u w:val="single"/>
        </w:rPr>
        <w:t>2022</w:t>
      </w:r>
      <w:r>
        <w:rPr>
          <w:b w:val="0"/>
          <w:i w:val="0"/>
          <w:smallCaps w:val="0"/>
          <w:strike w:val="0"/>
          <w:sz w:val="22"/>
          <w:u w:val="single"/>
        </w:rPr>
        <w:t xml:space="preserve"> record low of 1.2 per cent. </w:t>
      </w:r>
      <w:r>
        <w:rPr>
          <w:b/>
          <w:i w:val="0"/>
          <w:smallCaps w:val="0"/>
          <w:strike w:val="0"/>
          <w:sz w:val="22"/>
          <w:highlight w:val="cyan"/>
          <w:u w:val="single"/>
        </w:rPr>
        <w:t>This marks</w:t>
      </w:r>
      <w:r>
        <w:rPr>
          <w:b w:val="0"/>
          <w:i w:val="0"/>
          <w:smallCaps w:val="0"/>
          <w:strike w:val="0"/>
          <w:sz w:val="22"/>
          <w:u w:val="single"/>
        </w:rPr>
        <w:t xml:space="preserve"> a </w:t>
      </w:r>
      <w:r>
        <w:rPr>
          <w:b/>
          <w:i w:val="0"/>
          <w:smallCaps w:val="0"/>
          <w:strike w:val="0"/>
          <w:sz w:val="22"/>
          <w:highlight w:val="cyan"/>
          <w:u w:val="single"/>
        </w:rPr>
        <w:t>recovery from the declining ROI trend of the</w:t>
      </w:r>
      <w:r>
        <w:rPr>
          <w:b w:val="0"/>
          <w:i w:val="0"/>
          <w:smallCaps w:val="0"/>
          <w:strike w:val="0"/>
          <w:sz w:val="22"/>
          <w:u w:val="single"/>
        </w:rPr>
        <w:t xml:space="preserve"> past </w:t>
      </w:r>
      <w:r>
        <w:rPr>
          <w:b/>
          <w:i w:val="0"/>
          <w:smallCaps w:val="0"/>
          <w:strike w:val="0"/>
          <w:sz w:val="22"/>
          <w:highlight w:val="cyan"/>
          <w:u w:val="single"/>
        </w:rPr>
        <w:t>decade</w:t>
      </w:r>
      <w:r>
        <w:rPr>
          <w:b w:val="0"/>
          <w:i w:val="0"/>
          <w:smallCaps w:val="0"/>
          <w:strike w:val="0"/>
          <w:sz w:val="16"/>
          <w:u w:val="none"/>
        </w:rPr>
        <w:t xml:space="preserve">, the only exception to this being the 2021 productivity spike (6.8 per cent) driven by rapid approvals and emergency </w:t>
      </w:r>
      <w:r>
        <w:rPr>
          <w:b w:val="0"/>
          <w:i w:val="0"/>
          <w:smallCaps w:val="0"/>
          <w:strike w:val="0"/>
          <w:sz w:val="16"/>
          <w:u w:val="none"/>
        </w:rPr>
        <w:t>authorisations</w:t>
      </w:r>
      <w:r>
        <w:rPr>
          <w:b w:val="0"/>
          <w:i w:val="0"/>
          <w:smallCaps w:val="0"/>
          <w:strike w:val="0"/>
          <w:sz w:val="16"/>
          <w:u w:val="none"/>
        </w:rPr>
        <w:t xml:space="preserve"> of COVID-19 related drugs.</w:t>
      </w:r>
    </w:p>
    <w:p>
      <w:pPr>
        <w:spacing w:after="60"/>
      </w:pPr>
      <w:r>
        <w:rPr>
          <w:b w:val="0"/>
          <w:i w:val="0"/>
          <w:smallCaps w:val="0"/>
          <w:strike w:val="0"/>
          <w:sz w:val="16"/>
          <w:u w:val="none"/>
        </w:rPr>
        <w:t xml:space="preserve">The report also sheds light on how the current R&amp;D operating model within pharma continues to experience significant pressures. This is due to ongoing regulatory changes, the impending and unprecedented scale of the loss in exclusivity of high value drugs, and high inflation of supplier costs. Other challenges include the rapid pace of scientific advances, rising clinical trial complexity, and the costs of diagnostics. </w:t>
      </w:r>
      <w:r>
        <w:rPr>
          <w:b w:val="0"/>
          <w:i w:val="0"/>
          <w:smallCaps w:val="0"/>
          <w:strike w:val="0"/>
          <w:sz w:val="22"/>
          <w:u w:val="single"/>
        </w:rPr>
        <w:t xml:space="preserve">Yet the report illustrates that these </w:t>
      </w:r>
      <w:r>
        <w:rPr>
          <w:b/>
          <w:i w:val="0"/>
          <w:smallCaps w:val="0"/>
          <w:strike w:val="0"/>
          <w:sz w:val="22"/>
          <w:highlight w:val="cyan"/>
          <w:u w:val="single"/>
        </w:rPr>
        <w:t>pressures are</w:t>
      </w:r>
      <w:r>
        <w:rPr>
          <w:b w:val="0"/>
          <w:i w:val="0"/>
          <w:smallCaps w:val="0"/>
          <w:strike w:val="0"/>
          <w:sz w:val="22"/>
          <w:u w:val="single"/>
        </w:rPr>
        <w:t xml:space="preserve"> also </w:t>
      </w:r>
      <w:r>
        <w:rPr>
          <w:b/>
          <w:i w:val="0"/>
          <w:smallCaps w:val="0"/>
          <w:strike w:val="0"/>
          <w:sz w:val="22"/>
          <w:highlight w:val="cyan"/>
          <w:u w:val="single"/>
        </w:rPr>
        <w:t>creating new opportunities to improve R&amp;D</w:t>
      </w:r>
      <w:r>
        <w:rPr>
          <w:b w:val="0"/>
          <w:i w:val="0"/>
          <w:smallCaps w:val="0"/>
          <w:strike w:val="0"/>
          <w:sz w:val="22"/>
          <w:u w:val="single"/>
        </w:rPr>
        <w:t xml:space="preserve"> productivity</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