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PTAB invalidation concerns are </w:t>
      </w:r>
      <w:r>
        <w:rPr>
          <w:b/>
          <w:i w:val="0"/>
          <w:smallCaps w:val="0"/>
          <w:strike w:val="0"/>
          <w:sz w:val="26"/>
          <w:u w:val="single"/>
        </w:rPr>
        <w:t>overstated</w:t>
      </w:r>
      <w:r>
        <w:rPr>
          <w:b/>
          <w:i w:val="0"/>
          <w:smallCaps w:val="0"/>
          <w:strike w:val="0"/>
          <w:sz w:val="26"/>
          <w:u w:val="none"/>
        </w:rPr>
        <w:t xml:space="preserve">. The Court’s standards are </w:t>
      </w:r>
      <w:r>
        <w:rPr>
          <w:b/>
          <w:i w:val="0"/>
          <w:smallCaps w:val="0"/>
          <w:strike w:val="0"/>
          <w:sz w:val="26"/>
          <w:u w:val="single"/>
        </w:rPr>
        <w:t>worse</w:t>
      </w:r>
      <w:r>
        <w:rPr>
          <w:b/>
          <w:i w:val="0"/>
          <w:smallCaps w:val="0"/>
          <w:strike w:val="0"/>
          <w:sz w:val="26"/>
          <w:u w:val="none"/>
        </w:rPr>
        <w:t xml:space="preserve">. </w:t>
      </w:r>
    </w:p>
    <w:p>
      <w:pPr>
        <w:spacing w:after="80"/>
      </w:pPr>
      <w:r>
        <w:rPr>
          <w:b w:val="0"/>
          <w:i w:val="0"/>
          <w:smallCaps w:val="0"/>
          <w:strike w:val="0"/>
          <w:sz w:val="22"/>
          <w:u w:val="none"/>
        </w:rPr>
        <w:t xml:space="preserve">Joseph </w:t>
      </w:r>
      <w:r>
        <w:rPr>
          <w:b/>
          <w:i w:val="0"/>
          <w:smallCaps w:val="0"/>
          <w:strike w:val="0"/>
          <w:sz w:val="26"/>
          <w:u w:val="none"/>
        </w:rPr>
        <w:t>Matal</w:t>
      </w:r>
      <w:r>
        <w:rPr>
          <w:b w:val="0"/>
          <w:i w:val="0"/>
          <w:smallCaps w:val="0"/>
          <w:strike w:val="0"/>
          <w:sz w:val="22"/>
          <w:u w:val="none"/>
        </w:rPr>
        <w:t xml:space="preserve"> 11-8-20</w:t>
      </w:r>
      <w:r>
        <w:rPr>
          <w:b/>
          <w:i w:val="0"/>
          <w:smallCaps w:val="0"/>
          <w:strike w:val="0"/>
          <w:sz w:val="26"/>
          <w:u w:val="none"/>
        </w:rPr>
        <w:t>23</w:t>
      </w:r>
      <w:r>
        <w:rPr>
          <w:b w:val="0"/>
          <w:i w:val="0"/>
          <w:smallCaps w:val="0"/>
          <w:strike w:val="0"/>
          <w:sz w:val="22"/>
          <w:u w:val="none"/>
        </w:rP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Pr>
          <w:b w:val="0"/>
          <w:i w:val="0"/>
          <w:smallCaps w:val="0"/>
          <w:strike w:val="0"/>
          <w:sz w:val="22"/>
          <w:u w:val="none"/>
        </w:rPr>
        <w:t>https://www.judiciary.senate.gov/imo/media/doc/2023-11-08_-_testimony_-_matal.pdf</w:t>
      </w:r>
      <w:r>
        <w:rPr>
          <w:b w:val="0"/>
          <w:i w:val="0"/>
          <w:smallCaps w:val="0"/>
          <w:strike w:val="0"/>
          <w:sz w:val="22"/>
          <w:u w:val="none"/>
        </w:rPr>
        <w:t>, //ff</w:t>
      </w:r>
    </w:p>
    <w:p>
      <w:pPr>
        <w:spacing w:after="60"/>
      </w:pPr>
      <w:r>
        <w:rPr>
          <w:b w:val="0"/>
          <w:i w:val="0"/>
          <w:smallCaps w:val="0"/>
          <w:strike w:val="0"/>
          <w:sz w:val="16"/>
          <w:u w:val="none"/>
        </w:rPr>
        <w:t xml:space="preserve">The </w:t>
      </w:r>
      <w:r>
        <w:rPr>
          <w:b w:val="0"/>
          <w:i w:val="0"/>
          <w:smallCaps w:val="0"/>
          <w:strike w:val="0"/>
          <w:sz w:val="22"/>
          <w:u w:val="single"/>
        </w:rPr>
        <w:t xml:space="preserve">last four decades of the </w:t>
      </w:r>
      <w:r>
        <w:rPr>
          <w:b w:val="0"/>
          <w:i w:val="0"/>
          <w:smallCaps w:val="0"/>
          <w:strike w:val="0"/>
          <w:sz w:val="22"/>
          <w:highlight w:val="cyan"/>
          <w:u w:val="single"/>
        </w:rPr>
        <w:t>development of</w:t>
      </w:r>
      <w:r>
        <w:rPr>
          <w:b w:val="0"/>
          <w:i w:val="0"/>
          <w:smallCaps w:val="0"/>
          <w:strike w:val="0"/>
          <w:sz w:val="22"/>
          <w:u w:val="single"/>
        </w:rPr>
        <w:t xml:space="preserve"> post-issuance </w:t>
      </w:r>
      <w:r>
        <w:rPr>
          <w:b w:val="0"/>
          <w:i w:val="0"/>
          <w:smallCaps w:val="0"/>
          <w:strike w:val="0"/>
          <w:sz w:val="22"/>
          <w:highlight w:val="cyan"/>
          <w:u w:val="single"/>
        </w:rPr>
        <w:t>proceedings</w:t>
      </w:r>
      <w:r>
        <w:rPr>
          <w:b w:val="0"/>
          <w:i w:val="0"/>
          <w:smallCaps w:val="0"/>
          <w:strike w:val="0"/>
          <w:sz w:val="22"/>
          <w:u w:val="single"/>
        </w:rPr>
        <w:t xml:space="preserve"> at the</w:t>
      </w:r>
      <w:r>
        <w:rPr>
          <w:b w:val="0"/>
          <w:i w:val="0"/>
          <w:smallCaps w:val="0"/>
          <w:strike w:val="0"/>
          <w:sz w:val="16"/>
          <w:u w:val="none"/>
        </w:rPr>
        <w:t xml:space="preserve"> US</w:t>
      </w:r>
      <w:r>
        <w:rPr>
          <w:b w:val="0"/>
          <w:i w:val="0"/>
          <w:smallCaps w:val="0"/>
          <w:strike w:val="0"/>
          <w:sz w:val="22"/>
          <w:u w:val="single"/>
        </w:rPr>
        <w:t xml:space="preserve">PTO </w:t>
      </w:r>
      <w:r>
        <w:rPr>
          <w:b w:val="0"/>
          <w:i w:val="0"/>
          <w:smallCaps w:val="0"/>
          <w:strike w:val="0"/>
          <w:sz w:val="22"/>
          <w:highlight w:val="cyan"/>
          <w:u w:val="single"/>
        </w:rPr>
        <w:t>have</w:t>
      </w:r>
      <w:r>
        <w:rPr>
          <w:b w:val="0"/>
          <w:i w:val="0"/>
          <w:smallCaps w:val="0"/>
          <w:strike w:val="0"/>
          <w:sz w:val="22"/>
          <w:u w:val="single"/>
        </w:rPr>
        <w:t xml:space="preserve"> also </w:t>
      </w:r>
      <w:r>
        <w:rPr>
          <w:b w:val="0"/>
          <w:i w:val="0"/>
          <w:smallCaps w:val="0"/>
          <w:strike w:val="0"/>
          <w:sz w:val="22"/>
          <w:highlight w:val="cyan"/>
          <w:u w:val="single"/>
        </w:rPr>
        <w:t>coincided with</w:t>
      </w:r>
      <w:r>
        <w:rPr>
          <w:b w:val="0"/>
          <w:i w:val="0"/>
          <w:smallCaps w:val="0"/>
          <w:strike w:val="0"/>
          <w:sz w:val="22"/>
          <w:u w:val="single"/>
        </w:rPr>
        <w:t xml:space="preserve"> a shift in how </w:t>
      </w:r>
      <w:r>
        <w:rPr>
          <w:b w:val="0"/>
          <w:i w:val="0"/>
          <w:smallCaps w:val="0"/>
          <w:strike w:val="0"/>
          <w:sz w:val="22"/>
          <w:highlight w:val="cyan"/>
          <w:u w:val="single"/>
        </w:rPr>
        <w:t>the courts</w:t>
      </w:r>
      <w:r>
        <w:rPr>
          <w:b w:val="0"/>
          <w:i w:val="0"/>
          <w:smallCaps w:val="0"/>
          <w:strike w:val="0"/>
          <w:sz w:val="22"/>
          <w:u w:val="single"/>
        </w:rPr>
        <w:t xml:space="preserve"> resolve patent cases</w:t>
      </w:r>
      <w:r>
        <w:rPr>
          <w:b w:val="0"/>
          <w:i w:val="0"/>
          <w:smallCaps w:val="0"/>
          <w:strike w:val="0"/>
          <w:sz w:val="16"/>
          <w:u w:val="none"/>
        </w:rPr>
        <w:t xml:space="preserve">. As recently as 1978, judges decided over 90% of these cases, but as changes in Seventh Amendment jurisprudence have been absorbed by the plaintiff’s bar, three quarters of patent cases now go before a jury.4 </w:t>
      </w:r>
    </w:p>
    <w:p>
      <w:pPr>
        <w:spacing w:after="60"/>
      </w:pPr>
      <w:r>
        <w:rPr>
          <w:b w:val="0"/>
          <w:i w:val="0"/>
          <w:smallCaps w:val="0"/>
          <w:strike w:val="0"/>
          <w:sz w:val="22"/>
          <w:u w:val="single"/>
        </w:rPr>
        <w:t xml:space="preserve">Although </w:t>
      </w:r>
      <w:r>
        <w:rPr>
          <w:b w:val="0"/>
          <w:i w:val="0"/>
          <w:smallCaps w:val="0"/>
          <w:strike w:val="0"/>
          <w:sz w:val="22"/>
          <w:highlight w:val="cyan"/>
          <w:u w:val="single"/>
        </w:rPr>
        <w:t>district judges’</w:t>
      </w:r>
      <w:r>
        <w:rPr>
          <w:b w:val="0"/>
          <w:i w:val="0"/>
          <w:smallCaps w:val="0"/>
          <w:strike w:val="0"/>
          <w:sz w:val="22"/>
          <w:u w:val="single"/>
        </w:rPr>
        <w:t xml:space="preserve"> patent validity </w:t>
      </w:r>
      <w:r>
        <w:rPr>
          <w:b w:val="0"/>
          <w:i w:val="0"/>
          <w:smallCaps w:val="0"/>
          <w:strike w:val="0"/>
          <w:sz w:val="22"/>
          <w:highlight w:val="cyan"/>
          <w:u w:val="single"/>
        </w:rPr>
        <w:t>decisions have proven less accurate</w:t>
      </w:r>
      <w:r>
        <w:rPr>
          <w:b w:val="0"/>
          <w:i w:val="0"/>
          <w:smallCaps w:val="0"/>
          <w:strike w:val="0"/>
          <w:sz w:val="22"/>
          <w:u w:val="single"/>
        </w:rPr>
        <w:t xml:space="preserve"> than those made by the PTAB, jury verdicts present even more difficulties</w:t>
      </w:r>
      <w:r>
        <w:rPr>
          <w:b w:val="0"/>
          <w:i w:val="0"/>
          <w:smallCaps w:val="0"/>
          <w:strike w:val="0"/>
          <w:sz w:val="16"/>
          <w:u w:val="none"/>
        </w:rPr>
        <w:t xml:space="preserve">. As compared to judges, </w:t>
      </w:r>
      <w:r>
        <w:rPr>
          <w:b w:val="0"/>
          <w:i w:val="0"/>
          <w:smallCaps w:val="0"/>
          <w:strike w:val="0"/>
          <w:sz w:val="22"/>
          <w:u w:val="single"/>
        </w:rPr>
        <w:t xml:space="preserve">juries are more likely to favor particular types of parties, </w:t>
      </w:r>
      <w:r>
        <w:rPr>
          <w:b w:val="0"/>
          <w:i w:val="0"/>
          <w:smallCaps w:val="0"/>
          <w:strike w:val="0"/>
          <w:sz w:val="22"/>
          <w:highlight w:val="cyan"/>
          <w:u w:val="single"/>
        </w:rPr>
        <w:t>more likely to favor the</w:t>
      </w:r>
      <w:r>
        <w:rPr>
          <w:b w:val="0"/>
          <w:i w:val="0"/>
          <w:smallCaps w:val="0"/>
          <w:strike w:val="0"/>
          <w:sz w:val="22"/>
          <w:u w:val="single"/>
        </w:rPr>
        <w:t xml:space="preserve"> party that initiates the </w:t>
      </w:r>
      <w:r>
        <w:rPr>
          <w:b w:val="0"/>
          <w:i w:val="0"/>
          <w:smallCaps w:val="0"/>
          <w:strike w:val="0"/>
          <w:sz w:val="22"/>
          <w:highlight w:val="cyan"/>
          <w:u w:val="single"/>
        </w:rPr>
        <w:t>suit</w:t>
      </w:r>
      <w:r>
        <w:rPr>
          <w:b w:val="0"/>
          <w:i w:val="0"/>
          <w:smallCaps w:val="0"/>
          <w:strike w:val="0"/>
          <w:sz w:val="22"/>
          <w:u w:val="single"/>
        </w:rPr>
        <w:t xml:space="preserve"> rather than the defendant</w:t>
      </w:r>
      <w:r>
        <w:rPr>
          <w:b w:val="0"/>
          <w:i w:val="0"/>
          <w:smallCaps w:val="0"/>
          <w:strike w:val="0"/>
          <w:sz w:val="16"/>
          <w:u w:val="none"/>
        </w:rPr>
        <w:t xml:space="preserve"> (regardless of whether it is the patent owner or a declaratory judgment plaintiff), and </w:t>
      </w:r>
      <w:r>
        <w:rPr>
          <w:b w:val="0"/>
          <w:i w:val="0"/>
          <w:smallCaps w:val="0"/>
          <w:strike w:val="0"/>
          <w:sz w:val="22"/>
          <w:u w:val="single"/>
        </w:rPr>
        <w:t xml:space="preserve">more likely to </w:t>
      </w:r>
      <w:r>
        <w:rPr>
          <w:b w:val="0"/>
          <w:i w:val="0"/>
          <w:smallCaps w:val="0"/>
          <w:strike w:val="0"/>
          <w:sz w:val="22"/>
          <w:highlight w:val="cyan"/>
          <w:u w:val="single"/>
        </w:rPr>
        <w:t>decide all issues in favor of one</w:t>
      </w:r>
      <w:r>
        <w:rPr>
          <w:b w:val="0"/>
          <w:i w:val="0"/>
          <w:smallCaps w:val="0"/>
          <w:strike w:val="0"/>
          <w:sz w:val="22"/>
          <w:u w:val="single"/>
        </w:rPr>
        <w:t xml:space="preserve"> party or another rather than distinguishing</w:t>
      </w:r>
      <w:r>
        <w:rPr>
          <w:b w:val="0"/>
          <w:i w:val="0"/>
          <w:smallCaps w:val="0"/>
          <w:strike w:val="0"/>
          <w:sz w:val="16"/>
          <w:u w:val="none"/>
        </w:rPr>
        <w:t xml:space="preserve"> among the different questions before them.5</w:t>
      </w:r>
    </w:p>
    <w:p>
      <w:pPr>
        <w:spacing w:after="60"/>
      </w:pPr>
      <w:r>
        <w:rPr>
          <w:b w:val="0"/>
          <w:i w:val="0"/>
          <w:smallCaps w:val="0"/>
          <w:strike w:val="0"/>
          <w:sz w:val="22"/>
          <w:u w:val="single"/>
        </w:rPr>
        <w:t xml:space="preserve">Lay </w:t>
      </w:r>
      <w:r>
        <w:rPr>
          <w:b w:val="0"/>
          <w:i w:val="0"/>
          <w:smallCaps w:val="0"/>
          <w:strike w:val="0"/>
          <w:sz w:val="22"/>
          <w:highlight w:val="cyan"/>
          <w:u w:val="single"/>
        </w:rPr>
        <w:t>juries</w:t>
      </w:r>
      <w:r>
        <w:rPr>
          <w:b w:val="0"/>
          <w:i w:val="0"/>
          <w:smallCaps w:val="0"/>
          <w:strike w:val="0"/>
          <w:sz w:val="22"/>
          <w:u w:val="single"/>
        </w:rPr>
        <w:t xml:space="preserve"> often </w:t>
      </w:r>
      <w:r>
        <w:rPr>
          <w:b w:val="0"/>
          <w:i w:val="0"/>
          <w:smallCaps w:val="0"/>
          <w:strike w:val="0"/>
          <w:sz w:val="22"/>
          <w:highlight w:val="cyan"/>
          <w:u w:val="single"/>
        </w:rPr>
        <w:t>find complex tech</w:t>
      </w:r>
      <w:r>
        <w:rPr>
          <w:b w:val="0"/>
          <w:i w:val="0"/>
          <w:smallCaps w:val="0"/>
          <w:strike w:val="0"/>
          <w:sz w:val="22"/>
          <w:u w:val="single"/>
        </w:rPr>
        <w:t xml:space="preserve">nologies </w:t>
      </w:r>
      <w:r>
        <w:rPr>
          <w:b w:val="0"/>
          <w:i w:val="0"/>
          <w:smallCaps w:val="0"/>
          <w:strike w:val="0"/>
          <w:sz w:val="22"/>
          <w:highlight w:val="cyan"/>
          <w:u w:val="single"/>
        </w:rPr>
        <w:t>inaccessible</w:t>
      </w:r>
      <w:r>
        <w:rPr>
          <w:b w:val="0"/>
          <w:i w:val="0"/>
          <w:smallCaps w:val="0"/>
          <w:strike w:val="0"/>
          <w:sz w:val="22"/>
          <w:u w:val="single"/>
        </w:rPr>
        <w:t xml:space="preserve">, and they are notoriously </w:t>
      </w:r>
      <w:r>
        <w:rPr>
          <w:b w:val="0"/>
          <w:i w:val="0"/>
          <w:smallCaps w:val="0"/>
          <w:strike w:val="0"/>
          <w:sz w:val="22"/>
          <w:highlight w:val="cyan"/>
          <w:u w:val="single"/>
        </w:rPr>
        <w:t>resistant to engaging in</w:t>
      </w:r>
      <w:r>
        <w:rPr>
          <w:b w:val="0"/>
          <w:i w:val="0"/>
          <w:smallCaps w:val="0"/>
          <w:strike w:val="0"/>
          <w:sz w:val="22"/>
          <w:u w:val="single"/>
        </w:rPr>
        <w:t xml:space="preserve"> an obvious </w:t>
      </w:r>
      <w:r>
        <w:rPr>
          <w:b w:val="0"/>
          <w:i w:val="0"/>
          <w:smallCaps w:val="0"/>
          <w:strike w:val="0"/>
          <w:sz w:val="22"/>
          <w:highlight w:val="cyan"/>
          <w:u w:val="single"/>
        </w:rPr>
        <w:t>analysis</w:t>
      </w:r>
      <w:r>
        <w:rPr>
          <w:b w:val="0"/>
          <w:i w:val="0"/>
          <w:smallCaps w:val="0"/>
          <w:strike w:val="0"/>
          <w:sz w:val="22"/>
          <w:u w:val="single"/>
        </w:rPr>
        <w:t xml:space="preserve"> that combines patents and printed publications. Patent </w:t>
      </w:r>
      <w:r>
        <w:rPr>
          <w:b w:val="0"/>
          <w:i w:val="0"/>
          <w:smallCaps w:val="0"/>
          <w:strike w:val="0"/>
          <w:sz w:val="22"/>
          <w:highlight w:val="cyan"/>
          <w:u w:val="single"/>
        </w:rPr>
        <w:t>validity</w:t>
      </w:r>
      <w:r>
        <w:rPr>
          <w:b w:val="0"/>
          <w:i w:val="0"/>
          <w:smallCaps w:val="0"/>
          <w:strike w:val="0"/>
          <w:sz w:val="22"/>
          <w:u w:val="single"/>
        </w:rPr>
        <w:t xml:space="preserve"> is just one of several issues before the jury—in addition to </w:t>
      </w:r>
      <w:r>
        <w:rPr>
          <w:b w:val="0"/>
          <w:i w:val="0"/>
          <w:smallCaps w:val="0"/>
          <w:strike w:val="0"/>
          <w:sz w:val="22"/>
          <w:highlight w:val="cyan"/>
          <w:u w:val="single"/>
        </w:rPr>
        <w:t>infringement, willfulness</w:t>
      </w:r>
      <w:r>
        <w:rPr>
          <w:b w:val="0"/>
          <w:i w:val="0"/>
          <w:smallCaps w:val="0"/>
          <w:strike w:val="0"/>
          <w:sz w:val="22"/>
          <w:u w:val="single"/>
        </w:rPr>
        <w:t xml:space="preserve">, and </w:t>
      </w:r>
      <w:r>
        <w:rPr>
          <w:b w:val="0"/>
          <w:i w:val="0"/>
          <w:smallCaps w:val="0"/>
          <w:strike w:val="0"/>
          <w:sz w:val="22"/>
          <w:highlight w:val="cyan"/>
          <w:u w:val="single"/>
        </w:rPr>
        <w:t>damages</w:t>
      </w:r>
      <w:r>
        <w:rPr>
          <w:b w:val="0"/>
          <w:i w:val="0"/>
          <w:smallCaps w:val="0"/>
          <w:strike w:val="0"/>
          <w:sz w:val="22"/>
          <w:u w:val="single"/>
        </w:rPr>
        <w:t xml:space="preserve">—and it is </w:t>
      </w:r>
      <w:r>
        <w:rPr>
          <w:b w:val="0"/>
          <w:i w:val="0"/>
          <w:smallCaps w:val="0"/>
          <w:strike w:val="0"/>
          <w:sz w:val="22"/>
          <w:highlight w:val="cyan"/>
          <w:u w:val="single"/>
        </w:rPr>
        <w:t>easy to</w:t>
      </w:r>
      <w:r>
        <w:rPr>
          <w:b w:val="0"/>
          <w:i w:val="0"/>
          <w:smallCaps w:val="0"/>
          <w:strike w:val="0"/>
          <w:sz w:val="22"/>
          <w:u w:val="single"/>
        </w:rPr>
        <w:t xml:space="preserve"> simply </w:t>
      </w:r>
      <w:r>
        <w:rPr>
          <w:b w:val="0"/>
          <w:i w:val="0"/>
          <w:smallCaps w:val="0"/>
          <w:strike w:val="0"/>
          <w:sz w:val="22"/>
          <w:highlight w:val="cyan"/>
          <w:u w:val="single"/>
        </w:rPr>
        <w:t>defer to the</w:t>
      </w:r>
      <w:r>
        <w:rPr>
          <w:b w:val="0"/>
          <w:i w:val="0"/>
          <w:smallCaps w:val="0"/>
          <w:strike w:val="0"/>
          <w:sz w:val="22"/>
          <w:u w:val="single"/>
        </w:rPr>
        <w:t xml:space="preserve"> US</w:t>
      </w:r>
      <w:r>
        <w:rPr>
          <w:b w:val="0"/>
          <w:i w:val="0"/>
          <w:smallCaps w:val="0"/>
          <w:strike w:val="0"/>
          <w:sz w:val="22"/>
          <w:highlight w:val="cyan"/>
          <w:u w:val="single"/>
        </w:rPr>
        <w:t>PTO</w:t>
      </w:r>
      <w:r>
        <w:rPr>
          <w:b w:val="0"/>
          <w:i w:val="0"/>
          <w:smallCaps w:val="0"/>
          <w:strike w:val="0"/>
          <w:sz w:val="22"/>
          <w:u w:val="single"/>
        </w:rPr>
        <w:t>’s initial examination of the patent. Rather than scrutinize the teachings of the prior art, juries tend to focus on stories about the invention and the parties</w:t>
      </w:r>
      <w:r>
        <w:rPr>
          <w:b w:val="0"/>
          <w:i w:val="0"/>
          <w:smallCaps w:val="0"/>
          <w:strike w:val="0"/>
          <w:sz w:val="16"/>
          <w:u w:val="none"/>
        </w:rPr>
        <w:t xml:space="preserve">. </w:t>
      </w:r>
    </w:p>
    <w:p>
      <w:pPr>
        <w:spacing w:after="60"/>
      </w:pPr>
      <w:r>
        <w:rPr>
          <w:b w:val="0"/>
          <w:i w:val="0"/>
          <w:smallCaps w:val="0"/>
          <w:strike w:val="0"/>
          <w:sz w:val="16"/>
          <w:u w:val="none"/>
        </w:rPr>
        <w:t xml:space="preserve">Few things are more dispiriting from a patent policy perspective than watching how </w:t>
      </w:r>
      <w:r>
        <w:rPr>
          <w:b w:val="0"/>
          <w:i w:val="0"/>
          <w:smallCaps w:val="0"/>
          <w:strike w:val="0"/>
          <w:sz w:val="22"/>
          <w:u w:val="single"/>
        </w:rPr>
        <w:t xml:space="preserve">skilled trial </w:t>
      </w:r>
      <w:r>
        <w:rPr>
          <w:b w:val="0"/>
          <w:i w:val="0"/>
          <w:smallCaps w:val="0"/>
          <w:strike w:val="0"/>
          <w:sz w:val="22"/>
          <w:highlight w:val="cyan"/>
          <w:u w:val="single"/>
        </w:rPr>
        <w:t>lawyers</w:t>
      </w:r>
      <w:r>
        <w:rPr>
          <w:b w:val="0"/>
          <w:i w:val="0"/>
          <w:smallCaps w:val="0"/>
          <w:strike w:val="0"/>
          <w:sz w:val="22"/>
          <w:u w:val="single"/>
        </w:rPr>
        <w:t xml:space="preserve"> prepare for a patent jury trial</w:t>
      </w:r>
      <w:r>
        <w:rPr>
          <w:b w:val="0"/>
          <w:i w:val="0"/>
          <w:smallCaps w:val="0"/>
          <w:strike w:val="0"/>
          <w:sz w:val="16"/>
          <w:u w:val="none"/>
        </w:rPr>
        <w:t xml:space="preserve">. There is an enormous focus on narratives and themes, on </w:t>
      </w:r>
      <w:r>
        <w:rPr>
          <w:b w:val="0"/>
          <w:i w:val="0"/>
          <w:smallCaps w:val="0"/>
          <w:strike w:val="0"/>
          <w:sz w:val="22"/>
          <w:u w:val="single"/>
        </w:rPr>
        <w:t>trying to present one’s own side as the “little guy,”</w:t>
      </w:r>
      <w:r>
        <w:rPr>
          <w:b w:val="0"/>
          <w:i w:val="0"/>
          <w:smallCaps w:val="0"/>
          <w:strike w:val="0"/>
          <w:sz w:val="16"/>
          <w:u w:val="none"/>
        </w:rPr>
        <w:t xml:space="preserve"> and on uncovering internal communications that can be presented in a bad light and thereby </w:t>
      </w:r>
      <w:r>
        <w:rPr>
          <w:b w:val="0"/>
          <w:i w:val="0"/>
          <w:smallCaps w:val="0"/>
          <w:strike w:val="0"/>
          <w:sz w:val="22"/>
          <w:highlight w:val="cyan"/>
          <w:u w:val="single"/>
        </w:rPr>
        <w:t>taint the jury’s view</w:t>
      </w:r>
    </w:p>
    <w:p>
      <w:pPr>
        <w:spacing w:after="60"/>
      </w:pPr>
      <w:r>
        <w:rPr>
          <w:b w:val="0"/>
          <w:i w:val="0"/>
          <w:smallCaps w:val="0"/>
          <w:strike w:val="0"/>
          <w:sz w:val="22"/>
          <w:u w:val="none"/>
        </w:rPr>
        <w:t>[FOOTNOTE OMITTED]</w:t>
      </w:r>
    </w:p>
    <w:p>
      <w:pPr>
        <w:spacing w:after="60"/>
      </w:pPr>
      <w:r>
        <w:rPr>
          <w:b w:val="0"/>
          <w:i w:val="0"/>
          <w:smallCaps w:val="0"/>
          <w:strike w:val="0"/>
          <w:sz w:val="22"/>
          <w:u w:val="single"/>
        </w:rPr>
        <w:t xml:space="preserve">of all the issues. </w:t>
      </w:r>
      <w:r>
        <w:rPr>
          <w:b w:val="0"/>
          <w:i w:val="0"/>
          <w:smallCaps w:val="0"/>
          <w:strike w:val="0"/>
          <w:sz w:val="22"/>
          <w:highlight w:val="cyan"/>
          <w:u w:val="single"/>
        </w:rPr>
        <w:t>What is</w:t>
      </w:r>
      <w:r>
        <w:rPr>
          <w:b w:val="0"/>
          <w:i w:val="0"/>
          <w:smallCaps w:val="0"/>
          <w:strike w:val="0"/>
          <w:sz w:val="22"/>
          <w:u w:val="single"/>
        </w:rPr>
        <w:t xml:space="preserve"> often </w:t>
      </w:r>
      <w:r>
        <w:rPr>
          <w:b w:val="0"/>
          <w:i w:val="0"/>
          <w:smallCaps w:val="0"/>
          <w:strike w:val="0"/>
          <w:sz w:val="22"/>
          <w:highlight w:val="cyan"/>
          <w:u w:val="single"/>
        </w:rPr>
        <w:t>missing is</w:t>
      </w:r>
      <w:r>
        <w:rPr>
          <w:b w:val="0"/>
          <w:i w:val="0"/>
          <w:smallCaps w:val="0"/>
          <w:strike w:val="0"/>
          <w:sz w:val="22"/>
          <w:u w:val="single"/>
        </w:rPr>
        <w:t xml:space="preserve"> an </w:t>
      </w:r>
      <w:r>
        <w:rPr>
          <w:b w:val="0"/>
          <w:i w:val="0"/>
          <w:smallCaps w:val="0"/>
          <w:strike w:val="0"/>
          <w:sz w:val="22"/>
          <w:highlight w:val="cyan"/>
          <w:u w:val="single"/>
        </w:rPr>
        <w:t>analysis</w:t>
      </w:r>
      <w:r>
        <w:rPr>
          <w:b w:val="0"/>
          <w:i w:val="0"/>
          <w:smallCaps w:val="0"/>
          <w:strike w:val="0"/>
          <w:sz w:val="22"/>
          <w:u w:val="single"/>
        </w:rPr>
        <w:t xml:space="preserve"> of the limitations of the claims and how they are met</w:t>
      </w:r>
      <w:r>
        <w:rPr>
          <w:b w:val="0"/>
          <w:i w:val="0"/>
          <w:smallCaps w:val="0"/>
          <w:strike w:val="0"/>
          <w:sz w:val="16"/>
          <w:u w:val="none"/>
        </w:rPr>
        <w:t xml:space="preserve"> by the prior art. </w:t>
      </w:r>
    </w:p>
    <w:p>
      <w:pPr>
        <w:spacing w:after="60"/>
      </w:pPr>
      <w:r>
        <w:rPr>
          <w:b w:val="0"/>
          <w:i w:val="0"/>
          <w:smallCaps w:val="0"/>
          <w:strike w:val="0"/>
          <w:sz w:val="16"/>
          <w:u w:val="none"/>
        </w:rPr>
        <w:t xml:space="preserve">Another unfortunate development in patent litigation in recent decades is the rise of the patent magnet jurisdictions. </w:t>
      </w:r>
      <w:r>
        <w:rPr>
          <w:b w:val="0"/>
          <w:i w:val="0"/>
          <w:smallCaps w:val="0"/>
          <w:strike w:val="0"/>
          <w:sz w:val="22"/>
          <w:highlight w:val="cyan"/>
          <w:u w:val="single"/>
        </w:rPr>
        <w:t>Judges</w:t>
      </w:r>
      <w:r>
        <w:rPr>
          <w:b w:val="0"/>
          <w:i w:val="0"/>
          <w:smallCaps w:val="0"/>
          <w:strike w:val="0"/>
          <w:sz w:val="22"/>
          <w:u w:val="single"/>
        </w:rPr>
        <w:t xml:space="preserve"> in these courts have actively </w:t>
      </w:r>
      <w:r>
        <w:rPr>
          <w:b w:val="0"/>
          <w:i w:val="0"/>
          <w:smallCaps w:val="0"/>
          <w:strike w:val="0"/>
          <w:sz w:val="22"/>
          <w:highlight w:val="cyan"/>
          <w:u w:val="single"/>
        </w:rPr>
        <w:t>advertise</w:t>
      </w:r>
      <w:r>
        <w:rPr>
          <w:b w:val="0"/>
          <w:i w:val="0"/>
          <w:smallCaps w:val="0"/>
          <w:strike w:val="0"/>
          <w:sz w:val="22"/>
          <w:u w:val="single"/>
        </w:rPr>
        <w:t>d</w:t>
      </w:r>
      <w:r>
        <w:rPr>
          <w:b w:val="0"/>
          <w:i w:val="0"/>
          <w:smallCaps w:val="0"/>
          <w:strike w:val="0"/>
          <w:sz w:val="16"/>
          <w:u w:val="none"/>
        </w:rPr>
        <w:t xml:space="preserve">6 </w:t>
      </w:r>
      <w:r>
        <w:rPr>
          <w:b w:val="0"/>
          <w:i w:val="0"/>
          <w:smallCaps w:val="0"/>
          <w:strike w:val="0"/>
          <w:sz w:val="22"/>
          <w:u w:val="single"/>
        </w:rPr>
        <w:t>for patent cases</w:t>
      </w:r>
      <w:r>
        <w:rPr>
          <w:b w:val="0"/>
          <w:i w:val="0"/>
          <w:smallCaps w:val="0"/>
          <w:strike w:val="0"/>
          <w:sz w:val="16"/>
          <w:u w:val="none"/>
        </w:rPr>
        <w:t xml:space="preserve"> and recruited plaintiffs7 to file before them. In their efforts </w:t>
      </w:r>
      <w:r>
        <w:rPr>
          <w:b w:val="0"/>
          <w:i w:val="0"/>
          <w:smallCaps w:val="0"/>
          <w:strike w:val="0"/>
          <w:sz w:val="22"/>
          <w:u w:val="single"/>
        </w:rPr>
        <w:t>to make themselves an attractive venue</w:t>
      </w:r>
      <w:r>
        <w:rPr>
          <w:b w:val="0"/>
          <w:i w:val="0"/>
          <w:smallCaps w:val="0"/>
          <w:strike w:val="0"/>
          <w:sz w:val="16"/>
          <w:u w:val="none"/>
        </w:rPr>
        <w:t xml:space="preserve"> for patent plaintiffs, they have also allowed the presentation of jury instructions and arguments that tend to depress the jury’s sense of responsibility to assess patent validity. This, in combination with a routine disregard for Rule 702, has </w:t>
      </w:r>
      <w:r>
        <w:rPr>
          <w:b w:val="0"/>
          <w:i w:val="0"/>
          <w:smallCaps w:val="0"/>
          <w:strike w:val="0"/>
          <w:sz w:val="22"/>
          <w:u w:val="single"/>
        </w:rPr>
        <w:t xml:space="preserve">made it possible </w:t>
      </w:r>
      <w:r>
        <w:rPr>
          <w:b w:val="0"/>
          <w:i w:val="0"/>
          <w:smallCaps w:val="0"/>
          <w:strike w:val="0"/>
          <w:sz w:val="22"/>
          <w:highlight w:val="cyan"/>
          <w:u w:val="single"/>
        </w:rPr>
        <w:t>to seek</w:t>
      </w:r>
      <w:r>
        <w:rPr>
          <w:b w:val="0"/>
          <w:i w:val="0"/>
          <w:smallCaps w:val="0"/>
          <w:strike w:val="0"/>
          <w:sz w:val="22"/>
          <w:u w:val="single"/>
        </w:rPr>
        <w:t xml:space="preserve"> outsized </w:t>
      </w:r>
      <w:r>
        <w:rPr>
          <w:b w:val="0"/>
          <w:i w:val="0"/>
          <w:smallCaps w:val="0"/>
          <w:strike w:val="0"/>
          <w:sz w:val="22"/>
          <w:highlight w:val="cyan"/>
          <w:u w:val="single"/>
        </w:rPr>
        <w:t>awards for invalid patents</w:t>
      </w:r>
      <w:r>
        <w:rPr>
          <w:b w:val="0"/>
          <w:i w:val="0"/>
          <w:smallCaps w:val="0"/>
          <w:strike w:val="0"/>
          <w:sz w:val="16"/>
          <w:u w:val="none"/>
        </w:rPr>
        <w:t xml:space="preserve">.8 </w:t>
      </w:r>
    </w:p>
    <w:p>
      <w:pPr>
        <w:spacing w:after="60"/>
      </w:pPr>
      <w:r>
        <w:rPr>
          <w:b w:val="0"/>
          <w:i w:val="0"/>
          <w:smallCaps w:val="0"/>
          <w:strike w:val="0"/>
          <w:sz w:val="22"/>
          <w:u w:val="single"/>
        </w:rPr>
        <w:t>This is an absurd way to run an intellectual-property system</w:t>
      </w:r>
      <w:r>
        <w:rPr>
          <w:b w:val="0"/>
          <w:i w:val="0"/>
          <w:smallCaps w:val="0"/>
          <w:strike w:val="0"/>
          <w:sz w:val="16"/>
          <w:u w:val="none"/>
        </w:rPr>
        <w:t xml:space="preserve">, particularly when critical technologies are at stake. In many cases, </w:t>
      </w:r>
      <w:r>
        <w:rPr>
          <w:b w:val="0"/>
          <w:i w:val="0"/>
          <w:smallCaps w:val="0"/>
          <w:strike w:val="0"/>
          <w:sz w:val="22"/>
          <w:u w:val="single"/>
        </w:rPr>
        <w:t xml:space="preserve">a </w:t>
      </w:r>
      <w:r>
        <w:rPr>
          <w:b w:val="0"/>
          <w:i w:val="0"/>
          <w:smallCaps w:val="0"/>
          <w:strike w:val="0"/>
          <w:sz w:val="22"/>
          <w:highlight w:val="cyan"/>
          <w:u w:val="single"/>
        </w:rPr>
        <w:t>PTAB</w:t>
      </w:r>
      <w:r>
        <w:rPr>
          <w:b w:val="0"/>
          <w:i w:val="0"/>
          <w:smallCaps w:val="0"/>
          <w:strike w:val="0"/>
          <w:sz w:val="22"/>
          <w:u w:val="single"/>
        </w:rPr>
        <w:t xml:space="preserve"> trial is not simply a less expensive or more technically accurate form of validity review—it </w:t>
      </w:r>
      <w:r>
        <w:rPr>
          <w:b w:val="0"/>
          <w:i w:val="0"/>
          <w:smallCaps w:val="0"/>
          <w:strike w:val="0"/>
          <w:sz w:val="22"/>
          <w:highlight w:val="cyan"/>
          <w:u w:val="single"/>
        </w:rPr>
        <w:t>is the only meaningful</w:t>
      </w:r>
      <w:r>
        <w:rPr>
          <w:b w:val="0"/>
          <w:i w:val="0"/>
          <w:smallCaps w:val="0"/>
          <w:strike w:val="0"/>
          <w:sz w:val="22"/>
          <w:u w:val="single"/>
        </w:rPr>
        <w:t xml:space="preserve"> form of </w:t>
      </w:r>
      <w:r>
        <w:rPr>
          <w:b w:val="0"/>
          <w:i w:val="0"/>
          <w:smallCaps w:val="0"/>
          <w:strike w:val="0"/>
          <w:sz w:val="22"/>
          <w:highlight w:val="cyan"/>
          <w:u w:val="single"/>
        </w:rPr>
        <w:t>review</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