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Either the plan’s deference is </w:t>
      </w:r>
      <w:r>
        <w:rPr>
          <w:b/>
          <w:i w:val="0"/>
          <w:smallCaps w:val="0"/>
          <w:strike w:val="0"/>
          <w:sz w:val="26"/>
          <w:u w:val="single"/>
        </w:rPr>
        <w:t>unneeded</w:t>
      </w:r>
      <w:r>
        <w:rPr>
          <w:b/>
          <w:i w:val="0"/>
          <w:smallCaps w:val="0"/>
          <w:strike w:val="0"/>
          <w:sz w:val="26"/>
          <w:u w:val="none"/>
        </w:rPr>
        <w:t xml:space="preserve"> or it’s </w:t>
      </w:r>
      <w:r>
        <w:rPr>
          <w:b/>
          <w:i w:val="0"/>
          <w:smallCaps w:val="0"/>
          <w:strike w:val="0"/>
          <w:sz w:val="26"/>
          <w:u w:val="single"/>
        </w:rPr>
        <w:t>worse</w:t>
      </w:r>
      <w:r>
        <w:rPr>
          <w:b/>
          <w:i w:val="0"/>
          <w:smallCaps w:val="0"/>
          <w:strike w:val="0"/>
          <w:sz w:val="26"/>
          <w:u w:val="none"/>
        </w:rPr>
        <w:t xml:space="preserve"> for validation because it requires relying on evaluations with </w:t>
      </w:r>
      <w:r>
        <w:rPr>
          <w:b/>
          <w:i w:val="0"/>
          <w:smallCaps w:val="0"/>
          <w:strike w:val="0"/>
          <w:sz w:val="26"/>
          <w:u w:val="single"/>
        </w:rPr>
        <w:t>less</w:t>
      </w:r>
      <w:r>
        <w:rPr>
          <w:b/>
          <w:i w:val="0"/>
          <w:smallCaps w:val="0"/>
          <w:strike w:val="0"/>
          <w:sz w:val="26"/>
          <w:u w:val="none"/>
        </w:rPr>
        <w:t xml:space="preserve"> analysis. </w:t>
      </w:r>
    </w:p>
    <w:p>
      <w:pPr>
        <w:spacing w:after="80"/>
      </w:pPr>
      <w:r>
        <w:rPr>
          <w:b w:val="0"/>
          <w:i w:val="0"/>
          <w:smallCaps w:val="0"/>
          <w:strike w:val="0"/>
          <w:sz w:val="22"/>
          <w:u w:val="none"/>
        </w:rPr>
        <w:t xml:space="preserve">Joseph </w:t>
      </w:r>
      <w:r>
        <w:rPr>
          <w:b/>
          <w:i w:val="0"/>
          <w:smallCaps w:val="0"/>
          <w:strike w:val="0"/>
          <w:sz w:val="26"/>
          <w:u w:val="none"/>
        </w:rPr>
        <w:t>Matal</w:t>
      </w:r>
      <w:r>
        <w:rPr>
          <w:b w:val="0"/>
          <w:i w:val="0"/>
          <w:smallCaps w:val="0"/>
          <w:strike w:val="0"/>
          <w:sz w:val="22"/>
          <w:u w:val="none"/>
        </w:rPr>
        <w:t xml:space="preserve"> 11-8-20</w:t>
      </w:r>
      <w:r>
        <w:rPr>
          <w:b/>
          <w:i w:val="0"/>
          <w:smallCaps w:val="0"/>
          <w:strike w:val="0"/>
          <w:sz w:val="26"/>
          <w:u w:val="none"/>
        </w:rPr>
        <w:t>23</w:t>
      </w:r>
      <w:r>
        <w:rPr>
          <w:b w:val="0"/>
          <w:i w:val="0"/>
          <w:smallCaps w:val="0"/>
          <w:strike w:val="0"/>
          <w:sz w:val="22"/>
          <w:u w:val="none"/>
        </w:rP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Pr>
          <w:b w:val="0"/>
          <w:i w:val="0"/>
          <w:smallCaps w:val="0"/>
          <w:strike w:val="0"/>
          <w:sz w:val="22"/>
          <w:u w:val="none"/>
        </w:rPr>
        <w:t>https://www.judiciary.senate.gov/imo/media/doc/2023-11-08_-_testimony_-_matal.pdf</w:t>
      </w:r>
      <w:r>
        <w:rPr>
          <w:b w:val="0"/>
          <w:i w:val="0"/>
          <w:smallCaps w:val="0"/>
          <w:strike w:val="0"/>
          <w:sz w:val="22"/>
          <w:u w:val="none"/>
        </w:rPr>
        <w:t>, //ff</w:t>
      </w:r>
    </w:p>
    <w:p>
      <w:pPr>
        <w:spacing w:after="60"/>
      </w:pPr>
      <w:r>
        <w:rPr>
          <w:b w:val="0"/>
          <w:i w:val="0"/>
          <w:smallCaps w:val="0"/>
          <w:strike w:val="0"/>
          <w:sz w:val="16"/>
          <w:u w:val="none"/>
        </w:rPr>
        <w:t xml:space="preserve">PREVAIL would amend § 316(e) of title 35 </w:t>
      </w:r>
      <w:r>
        <w:rPr>
          <w:b w:val="0"/>
          <w:i w:val="0"/>
          <w:smallCaps w:val="0"/>
          <w:strike w:val="0"/>
          <w:sz w:val="22"/>
          <w:u w:val="single"/>
        </w:rPr>
        <w:t>to provide that the original claims of a patent are subject to a presumption of validity that can only be overcome by clear and convincing evidence</w:t>
      </w:r>
      <w:r>
        <w:rPr>
          <w:b w:val="0"/>
          <w:i w:val="0"/>
          <w:smallCaps w:val="0"/>
          <w:strike w:val="0"/>
          <w:sz w:val="16"/>
          <w:u w:val="none"/>
        </w:rPr>
        <w:t xml:space="preserve">. In addition, PREVAIL would enact a new § 315(e)(2) that would mandate that the USPTO reject any PTAB petition that “presents” prior art that is the same or substantially the same as prior art that was previously “presented” to an examiner. </w:t>
      </w:r>
    </w:p>
    <w:p>
      <w:pPr>
        <w:spacing w:after="60"/>
      </w:pPr>
      <w:r>
        <w:rPr>
          <w:b w:val="0"/>
          <w:i w:val="0"/>
          <w:smallCaps w:val="0"/>
          <w:strike w:val="0"/>
          <w:sz w:val="16"/>
          <w:u w:val="none"/>
        </w:rPr>
        <w:t xml:space="preserve">The </w:t>
      </w:r>
      <w:r>
        <w:rPr>
          <w:b w:val="0"/>
          <w:i w:val="0"/>
          <w:smallCaps w:val="0"/>
          <w:strike w:val="0"/>
          <w:sz w:val="22"/>
          <w:highlight w:val="cyan"/>
          <w:u w:val="single"/>
        </w:rPr>
        <w:t>principal rationale</w:t>
      </w:r>
      <w:r>
        <w:rPr>
          <w:b w:val="0"/>
          <w:i w:val="0"/>
          <w:smallCaps w:val="0"/>
          <w:strike w:val="0"/>
          <w:sz w:val="22"/>
          <w:u w:val="single"/>
        </w:rPr>
        <w:t xml:space="preserve"> for requiring clear and convincing evidence</w:t>
      </w:r>
      <w:r>
        <w:rPr>
          <w:b w:val="0"/>
          <w:i w:val="0"/>
          <w:smallCaps w:val="0"/>
          <w:strike w:val="0"/>
          <w:sz w:val="16"/>
          <w:u w:val="none"/>
        </w:rPr>
        <w:t xml:space="preserve"> of invalidity in civil litigation—deference to the expert agency that issued the patent—</w:t>
      </w:r>
      <w:r>
        <w:rPr>
          <w:b w:val="0"/>
          <w:i w:val="0"/>
          <w:smallCaps w:val="0"/>
          <w:strike w:val="0"/>
          <w:sz w:val="22"/>
          <w:highlight w:val="cyan"/>
          <w:u w:val="single"/>
        </w:rPr>
        <w:t>does not apply when</w:t>
      </w:r>
      <w:r>
        <w:rPr>
          <w:b w:val="0"/>
          <w:i w:val="0"/>
          <w:smallCaps w:val="0"/>
          <w:strike w:val="0"/>
          <w:sz w:val="22"/>
          <w:u w:val="single"/>
        </w:rPr>
        <w:t xml:space="preserve"> a patent is being </w:t>
      </w:r>
      <w:r>
        <w:rPr>
          <w:b w:val="0"/>
          <w:i w:val="0"/>
          <w:smallCaps w:val="0"/>
          <w:strike w:val="0"/>
          <w:sz w:val="22"/>
          <w:highlight w:val="cyan"/>
          <w:u w:val="single"/>
        </w:rPr>
        <w:t>reconsidered</w:t>
      </w:r>
      <w:r>
        <w:rPr>
          <w:b w:val="0"/>
          <w:i w:val="0"/>
          <w:smallCaps w:val="0"/>
          <w:strike w:val="0"/>
          <w:sz w:val="22"/>
          <w:u w:val="single"/>
        </w:rPr>
        <w:t xml:space="preserve"> by the same expert</w:t>
      </w:r>
      <w:r>
        <w:rPr>
          <w:b w:val="0"/>
          <w:i w:val="0"/>
          <w:smallCaps w:val="0"/>
          <w:strike w:val="0"/>
          <w:sz w:val="22"/>
          <w:u w:val="single"/>
        </w:rPr>
        <w:t xml:space="preserve"> agency</w:t>
      </w:r>
      <w:r>
        <w:rPr>
          <w:b w:val="0"/>
          <w:i w:val="0"/>
          <w:smallCaps w:val="0"/>
          <w:strike w:val="0"/>
          <w:sz w:val="16"/>
          <w:u w:val="none"/>
        </w:rPr>
        <w:t>. The US</w:t>
      </w:r>
      <w:r>
        <w:rPr>
          <w:b w:val="0"/>
          <w:i w:val="0"/>
          <w:smallCaps w:val="0"/>
          <w:strike w:val="0"/>
          <w:sz w:val="22"/>
          <w:highlight w:val="cyan"/>
          <w:u w:val="single"/>
        </w:rPr>
        <w:t>PTO remains</w:t>
      </w:r>
      <w:r>
        <w:rPr>
          <w:b w:val="0"/>
          <w:i w:val="0"/>
          <w:smallCaps w:val="0"/>
          <w:strike w:val="0"/>
          <w:sz w:val="22"/>
          <w:u w:val="single"/>
        </w:rPr>
        <w:t xml:space="preserve"> just as </w:t>
      </w:r>
      <w:r>
        <w:rPr>
          <w:b w:val="0"/>
          <w:i w:val="0"/>
          <w:smallCaps w:val="0"/>
          <w:strike w:val="0"/>
          <w:sz w:val="22"/>
          <w:highlight w:val="cyan"/>
          <w:u w:val="single"/>
        </w:rPr>
        <w:t>expert</w:t>
      </w:r>
      <w:r>
        <w:rPr>
          <w:b w:val="0"/>
          <w:i w:val="0"/>
          <w:smallCaps w:val="0"/>
          <w:strike w:val="0"/>
          <w:sz w:val="22"/>
          <w:u w:val="single"/>
        </w:rPr>
        <w:t xml:space="preserve">, if not more so, </w:t>
      </w:r>
      <w:r>
        <w:rPr>
          <w:b w:val="0"/>
          <w:i w:val="0"/>
          <w:smallCaps w:val="0"/>
          <w:strike w:val="0"/>
          <w:sz w:val="22"/>
          <w:highlight w:val="cyan"/>
          <w:u w:val="single"/>
        </w:rPr>
        <w:t>on the second evaluation</w:t>
      </w:r>
      <w:r>
        <w:rPr>
          <w:b w:val="0"/>
          <w:i w:val="0"/>
          <w:smallCaps w:val="0"/>
          <w:strike w:val="0"/>
          <w:sz w:val="16"/>
          <w:u w:val="none"/>
        </w:rPr>
        <w:t xml:space="preserve"> of a patent. </w:t>
      </w:r>
      <w:r>
        <w:rPr>
          <w:b w:val="0"/>
          <w:i w:val="0"/>
          <w:smallCaps w:val="0"/>
          <w:strike w:val="0"/>
          <w:sz w:val="22"/>
          <w:u w:val="single"/>
        </w:rPr>
        <w:t xml:space="preserve">There is </w:t>
      </w:r>
      <w:r>
        <w:rPr>
          <w:b w:val="0"/>
          <w:i w:val="0"/>
          <w:smallCaps w:val="0"/>
          <w:strike w:val="0"/>
          <w:sz w:val="22"/>
          <w:highlight w:val="cyan"/>
          <w:u w:val="single"/>
        </w:rPr>
        <w:t>no reason</w:t>
      </w:r>
      <w:r>
        <w:rPr>
          <w:b w:val="0"/>
          <w:i w:val="0"/>
          <w:smallCaps w:val="0"/>
          <w:strike w:val="0"/>
          <w:sz w:val="22"/>
          <w:u w:val="single"/>
        </w:rPr>
        <w:t xml:space="preserve"> for the agency </w:t>
      </w:r>
      <w:r>
        <w:rPr>
          <w:b w:val="0"/>
          <w:i w:val="0"/>
          <w:smallCaps w:val="0"/>
          <w:strike w:val="0"/>
          <w:sz w:val="22"/>
          <w:highlight w:val="cyan"/>
          <w:u w:val="single"/>
        </w:rPr>
        <w:t>to defer to</w:t>
      </w:r>
      <w:r>
        <w:rPr>
          <w:b w:val="0"/>
          <w:i w:val="0"/>
          <w:smallCaps w:val="0"/>
          <w:strike w:val="0"/>
          <w:sz w:val="22"/>
          <w:u w:val="single"/>
        </w:rPr>
        <w:t xml:space="preserve"> an earlier decision that is the product of </w:t>
      </w:r>
      <w:r>
        <w:rPr>
          <w:b w:val="0"/>
          <w:i w:val="0"/>
          <w:smallCaps w:val="0"/>
          <w:strike w:val="0"/>
          <w:sz w:val="22"/>
          <w:highlight w:val="cyan"/>
          <w:u w:val="single"/>
        </w:rPr>
        <w:t>less deliberation and</w:t>
      </w:r>
      <w:r>
        <w:rPr>
          <w:b w:val="0"/>
          <w:i w:val="0"/>
          <w:smallCaps w:val="0"/>
          <w:strike w:val="0"/>
          <w:sz w:val="22"/>
          <w:u w:val="single"/>
        </w:rPr>
        <w:t xml:space="preserve"> that considered less </w:t>
      </w:r>
      <w:r>
        <w:rPr>
          <w:b w:val="0"/>
          <w:i w:val="0"/>
          <w:smallCaps w:val="0"/>
          <w:strike w:val="0"/>
          <w:sz w:val="22"/>
          <w:highlight w:val="cyan"/>
          <w:u w:val="single"/>
        </w:rPr>
        <w:t>evidence</w:t>
      </w:r>
      <w:r>
        <w:rPr>
          <w:b w:val="0"/>
          <w:i w:val="0"/>
          <w:smallCaps w:val="0"/>
          <w:strike w:val="0"/>
          <w:sz w:val="16"/>
          <w:u w:val="none"/>
        </w:rPr>
        <w:t xml:space="preserve">. </w:t>
      </w:r>
    </w:p>
    <w:p>
      <w:pPr>
        <w:spacing w:after="60"/>
      </w:pPr>
      <w:r>
        <w:rPr>
          <w:b w:val="0"/>
          <w:i w:val="0"/>
          <w:smallCaps w:val="0"/>
          <w:strike w:val="0"/>
          <w:sz w:val="16"/>
          <w:u w:val="none"/>
        </w:rPr>
        <w:t>The US</w:t>
      </w:r>
      <w:r>
        <w:rPr>
          <w:b w:val="0"/>
          <w:i w:val="0"/>
          <w:smallCaps w:val="0"/>
          <w:strike w:val="0"/>
          <w:sz w:val="22"/>
          <w:highlight w:val="cyan"/>
          <w:u w:val="single"/>
        </w:rPr>
        <w:t>PTO</w:t>
      </w:r>
      <w:r>
        <w:rPr>
          <w:b w:val="0"/>
          <w:i w:val="0"/>
          <w:smallCaps w:val="0"/>
          <w:strike w:val="0"/>
          <w:sz w:val="22"/>
          <w:u w:val="single"/>
        </w:rPr>
        <w:t xml:space="preserve"> itself </w:t>
      </w:r>
      <w:r>
        <w:rPr>
          <w:b w:val="0"/>
          <w:i w:val="0"/>
          <w:smallCaps w:val="0"/>
          <w:strike w:val="0"/>
          <w:sz w:val="22"/>
          <w:highlight w:val="cyan"/>
          <w:u w:val="single"/>
        </w:rPr>
        <w:t>highlighted</w:t>
      </w:r>
      <w:r>
        <w:rPr>
          <w:b w:val="0"/>
          <w:i w:val="0"/>
          <w:smallCaps w:val="0"/>
          <w:strike w:val="0"/>
          <w:sz w:val="22"/>
          <w:u w:val="single"/>
        </w:rPr>
        <w:t xml:space="preserve"> this point in the Microsoft v. i4i case</w:t>
      </w:r>
      <w:r>
        <w:rPr>
          <w:b w:val="0"/>
          <w:i w:val="0"/>
          <w:smallCaps w:val="0"/>
          <w:strike w:val="0"/>
          <w:sz w:val="16"/>
          <w:u w:val="none"/>
        </w:rPr>
        <w:t xml:space="preserve">, which reaffirmed the use of an across-the-board clear and convincing standard in civil litigation. As </w:t>
      </w:r>
      <w:r>
        <w:rPr>
          <w:b w:val="0"/>
          <w:i w:val="0"/>
          <w:smallCaps w:val="0"/>
          <w:strike w:val="0"/>
          <w:sz w:val="22"/>
          <w:u w:val="single"/>
        </w:rPr>
        <w:t>the agency’s brief stated:</w:t>
      </w:r>
    </w:p>
    <w:p>
      <w:pPr>
        <w:spacing w:after="60"/>
      </w:pPr>
      <w:r>
        <w:rPr>
          <w:b w:val="0"/>
          <w:i w:val="0"/>
          <w:smallCaps w:val="0"/>
          <w:strike w:val="0"/>
          <w:sz w:val="16"/>
          <w:u w:val="none"/>
        </w:rPr>
        <w:t xml:space="preserve">the </w:t>
      </w:r>
      <w:r>
        <w:rPr>
          <w:b w:val="0"/>
          <w:i w:val="0"/>
          <w:smallCaps w:val="0"/>
          <w:strike w:val="0"/>
          <w:sz w:val="22"/>
          <w:u w:val="single"/>
        </w:rPr>
        <w:t xml:space="preserve">clear-and-convincing-evidence </w:t>
      </w:r>
      <w:r>
        <w:rPr>
          <w:b w:val="0"/>
          <w:i w:val="0"/>
          <w:smallCaps w:val="0"/>
          <w:strike w:val="0"/>
          <w:sz w:val="22"/>
          <w:highlight w:val="cyan"/>
          <w:u w:val="single"/>
        </w:rPr>
        <w:t>standard reflects deference to the agency</w:t>
      </w:r>
      <w:r>
        <w:rPr>
          <w:b w:val="0"/>
          <w:i w:val="0"/>
          <w:smallCaps w:val="0"/>
          <w:strike w:val="0"/>
          <w:sz w:val="22"/>
          <w:u w:val="single"/>
        </w:rPr>
        <w:t xml:space="preserve">’s authority and expertise by ensuring that, when the factual questions on which validity turns are doubtful, the decision of the </w:t>
      </w:r>
      <w:r>
        <w:rPr>
          <w:b w:val="0"/>
          <w:i w:val="0"/>
          <w:smallCaps w:val="0"/>
          <w:strike w:val="0"/>
          <w:sz w:val="22"/>
          <w:highlight w:val="cyan"/>
          <w:u w:val="single"/>
        </w:rPr>
        <w:t>P</w:t>
      </w:r>
      <w:r>
        <w:rPr>
          <w:b w:val="0"/>
          <w:i w:val="0"/>
          <w:smallCaps w:val="0"/>
          <w:strike w:val="0"/>
          <w:sz w:val="16"/>
          <w:u w:val="none"/>
        </w:rPr>
        <w:t xml:space="preserve">atent </w:t>
      </w:r>
      <w:r>
        <w:rPr>
          <w:b w:val="0"/>
          <w:i w:val="0"/>
          <w:smallCaps w:val="0"/>
          <w:strike w:val="0"/>
          <w:sz w:val="22"/>
          <w:highlight w:val="cyan"/>
          <w:u w:val="single"/>
        </w:rPr>
        <w:t>O</w:t>
      </w:r>
      <w:r>
        <w:rPr>
          <w:b w:val="0"/>
          <w:i w:val="0"/>
          <w:smallCaps w:val="0"/>
          <w:strike w:val="0"/>
          <w:sz w:val="16"/>
          <w:u w:val="none"/>
        </w:rPr>
        <w:t xml:space="preserve">ffice </w:t>
      </w:r>
      <w:r>
        <w:rPr>
          <w:b w:val="0"/>
          <w:i w:val="0"/>
          <w:smallCaps w:val="0"/>
          <w:strike w:val="0"/>
          <w:sz w:val="22"/>
          <w:highlight w:val="cyan"/>
          <w:u w:val="single"/>
        </w:rPr>
        <w:t>must control</w:t>
      </w:r>
      <w:r>
        <w:rPr>
          <w:b w:val="0"/>
          <w:i w:val="0"/>
          <w:smallCaps w:val="0"/>
          <w:strike w:val="0"/>
          <w:sz w:val="16"/>
          <w:u w:val="none"/>
        </w:rPr>
        <w:t xml:space="preserve">. </w:t>
      </w:r>
    </w:p>
    <w:p>
      <w:pPr>
        <w:spacing w:after="60"/>
      </w:pPr>
      <w:r>
        <w:rPr>
          <w:b w:val="0"/>
          <w:i w:val="0"/>
          <w:smallCaps w:val="0"/>
          <w:strike w:val="0"/>
          <w:sz w:val="16"/>
          <w:u w:val="none"/>
        </w:rPr>
        <w:t xml:space="preserve">USPTO Brief, p. 26. </w:t>
      </w:r>
    </w:p>
    <w:p>
      <w:pPr>
        <w:spacing w:after="60"/>
      </w:pPr>
      <w:r>
        <w:rPr>
          <w:b w:val="0"/>
          <w:i w:val="0"/>
          <w:smallCaps w:val="0"/>
          <w:strike w:val="0"/>
          <w:sz w:val="16"/>
          <w:u w:val="none"/>
        </w:rPr>
        <w:t xml:space="preserve">It thus </w:t>
      </w:r>
      <w:r>
        <w:rPr>
          <w:b w:val="0"/>
          <w:i w:val="0"/>
          <w:smallCaps w:val="0"/>
          <w:strike w:val="0"/>
          <w:sz w:val="22"/>
          <w:highlight w:val="cyan"/>
          <w:u w:val="single"/>
        </w:rPr>
        <w:t>makes</w:t>
      </w:r>
      <w:r>
        <w:rPr>
          <w:b w:val="0"/>
          <w:i w:val="0"/>
          <w:smallCaps w:val="0"/>
          <w:strike w:val="0"/>
          <w:sz w:val="22"/>
          <w:u w:val="single"/>
        </w:rPr>
        <w:t xml:space="preserve"> “particular </w:t>
      </w:r>
      <w:r>
        <w:rPr>
          <w:b w:val="0"/>
          <w:i w:val="0"/>
          <w:smallCaps w:val="0"/>
          <w:strike w:val="0"/>
          <w:sz w:val="22"/>
          <w:highlight w:val="cyan"/>
          <w:u w:val="single"/>
        </w:rPr>
        <w:t>sense</w:t>
      </w:r>
      <w:r>
        <w:rPr>
          <w:b w:val="0"/>
          <w:i w:val="0"/>
          <w:smallCaps w:val="0"/>
          <w:strike w:val="0"/>
          <w:sz w:val="22"/>
          <w:u w:val="single"/>
        </w:rPr>
        <w:t xml:space="preserve">” to use a clear and convincing standard </w:t>
      </w:r>
      <w:r>
        <w:rPr>
          <w:b w:val="0"/>
          <w:i w:val="0"/>
          <w:smallCaps w:val="0"/>
          <w:strike w:val="0"/>
          <w:sz w:val="22"/>
          <w:highlight w:val="cyan"/>
          <w:u w:val="single"/>
        </w:rPr>
        <w:t>when</w:t>
      </w:r>
      <w:r>
        <w:rPr>
          <w:b w:val="0"/>
          <w:i w:val="0"/>
          <w:smallCaps w:val="0"/>
          <w:strike w:val="0"/>
          <w:sz w:val="22"/>
          <w:u w:val="single"/>
        </w:rPr>
        <w:t xml:space="preserve"> patent validity is being </w:t>
      </w:r>
      <w:r>
        <w:rPr>
          <w:b w:val="0"/>
          <w:i w:val="0"/>
          <w:smallCaps w:val="0"/>
          <w:strike w:val="0"/>
          <w:sz w:val="22"/>
          <w:highlight w:val="cyan"/>
          <w:u w:val="single"/>
        </w:rPr>
        <w:t>evaluated by</w:t>
      </w:r>
      <w:r>
        <w:rPr>
          <w:b w:val="0"/>
          <w:i w:val="0"/>
          <w:smallCaps w:val="0"/>
          <w:strike w:val="0"/>
          <w:sz w:val="22"/>
          <w:u w:val="single"/>
        </w:rPr>
        <w:t xml:space="preserve"> “lay </w:t>
      </w:r>
      <w:r>
        <w:rPr>
          <w:b w:val="0"/>
          <w:i w:val="0"/>
          <w:smallCaps w:val="0"/>
          <w:strike w:val="0"/>
          <w:sz w:val="22"/>
          <w:highlight w:val="cyan"/>
          <w:u w:val="single"/>
        </w:rPr>
        <w:t>juries who lack</w:t>
      </w:r>
      <w:r>
        <w:rPr>
          <w:b w:val="0"/>
          <w:i w:val="0"/>
          <w:smallCaps w:val="0"/>
          <w:strike w:val="0"/>
          <w:sz w:val="22"/>
          <w:u w:val="single"/>
        </w:rPr>
        <w:t xml:space="preserve"> technical </w:t>
      </w:r>
      <w:r>
        <w:rPr>
          <w:b w:val="0"/>
          <w:i w:val="0"/>
          <w:smallCaps w:val="0"/>
          <w:strike w:val="0"/>
          <w:sz w:val="22"/>
          <w:highlight w:val="cyan"/>
          <w:u w:val="single"/>
        </w:rPr>
        <w:t>expertise</w:t>
      </w:r>
      <w:r>
        <w:rPr>
          <w:b w:val="0"/>
          <w:i w:val="0"/>
          <w:smallCaps w:val="0"/>
          <w:strike w:val="0"/>
          <w:sz w:val="22"/>
          <w:u w:val="single"/>
        </w:rPr>
        <w:t xml:space="preserve"> and specialized knowledge</w:t>
      </w:r>
      <w:r>
        <w:rPr>
          <w:b w:val="0"/>
          <w:i w:val="0"/>
          <w:smallCaps w:val="0"/>
          <w:strike w:val="0"/>
          <w:sz w:val="16"/>
          <w:u w:val="none"/>
        </w:rPr>
        <w:t xml:space="preserve"> of the relevant fields.” Id. at pp. 26-27. </w:t>
      </w:r>
    </w:p>
    <w:p>
      <w:pPr>
        <w:spacing w:after="60"/>
      </w:pPr>
      <w:r>
        <w:rPr>
          <w:b w:val="0"/>
          <w:i w:val="0"/>
          <w:smallCaps w:val="0"/>
          <w:strike w:val="0"/>
          <w:sz w:val="16"/>
          <w:u w:val="none"/>
        </w:rPr>
        <w:t xml:space="preserve">By contrast, </w:t>
      </w:r>
      <w:r>
        <w:rPr>
          <w:b w:val="0"/>
          <w:i w:val="0"/>
          <w:smallCaps w:val="0"/>
          <w:strike w:val="0"/>
          <w:sz w:val="22"/>
          <w:u w:val="single"/>
        </w:rPr>
        <w:t xml:space="preserve">there is </w:t>
      </w:r>
      <w:r>
        <w:rPr>
          <w:b w:val="0"/>
          <w:i w:val="0"/>
          <w:smallCaps w:val="0"/>
          <w:strike w:val="0"/>
          <w:sz w:val="22"/>
          <w:highlight w:val="cyan"/>
          <w:u w:val="single"/>
        </w:rPr>
        <w:t>no reason to require</w:t>
      </w:r>
      <w:r>
        <w:rPr>
          <w:b w:val="0"/>
          <w:i w:val="0"/>
          <w:smallCaps w:val="0"/>
          <w:strike w:val="0"/>
          <w:sz w:val="22"/>
          <w:u w:val="single"/>
        </w:rPr>
        <w:t xml:space="preserve"> a </w:t>
      </w:r>
      <w:r>
        <w:rPr>
          <w:b w:val="0"/>
          <w:i w:val="0"/>
          <w:smallCaps w:val="0"/>
          <w:strike w:val="0"/>
          <w:sz w:val="22"/>
          <w:highlight w:val="cyan"/>
          <w:u w:val="single"/>
        </w:rPr>
        <w:t>PTAB</w:t>
      </w:r>
      <w:r>
        <w:rPr>
          <w:b w:val="0"/>
          <w:i w:val="0"/>
          <w:smallCaps w:val="0"/>
          <w:strike w:val="0"/>
          <w:sz w:val="22"/>
          <w:u w:val="single"/>
        </w:rPr>
        <w:t xml:space="preserve"> panel </w:t>
      </w:r>
      <w:r>
        <w:rPr>
          <w:b w:val="0"/>
          <w:i w:val="0"/>
          <w:smallCaps w:val="0"/>
          <w:strike w:val="0"/>
          <w:sz w:val="22"/>
          <w:highlight w:val="cyan"/>
          <w:u w:val="single"/>
        </w:rPr>
        <w:t>to defer</w:t>
      </w:r>
      <w:r>
        <w:rPr>
          <w:b w:val="0"/>
          <w:i w:val="0"/>
          <w:smallCaps w:val="0"/>
          <w:strike w:val="0"/>
          <w:sz w:val="22"/>
          <w:u w:val="single"/>
        </w:rPr>
        <w:t xml:space="preserve"> to an earlier decision by an examiner</w:t>
      </w:r>
      <w:r>
        <w:rPr>
          <w:b w:val="0"/>
          <w:i w:val="0"/>
          <w:smallCaps w:val="0"/>
          <w:strike w:val="0"/>
          <w:sz w:val="16"/>
          <w:u w:val="none"/>
        </w:rPr>
        <w:t xml:space="preserve">. That </w:t>
      </w:r>
      <w:r>
        <w:rPr>
          <w:b w:val="0"/>
          <w:i w:val="0"/>
          <w:smallCaps w:val="0"/>
          <w:strike w:val="0"/>
          <w:sz w:val="22"/>
          <w:highlight w:val="cyan"/>
          <w:u w:val="single"/>
        </w:rPr>
        <w:t>earlier decision is</w:t>
      </w:r>
      <w:r>
        <w:rPr>
          <w:b w:val="0"/>
          <w:i w:val="0"/>
          <w:smallCaps w:val="0"/>
          <w:strike w:val="0"/>
          <w:sz w:val="22"/>
          <w:u w:val="single"/>
        </w:rPr>
        <w:t xml:space="preserve"> almost always the product of much </w:t>
      </w:r>
      <w:r>
        <w:rPr>
          <w:b w:val="0"/>
          <w:i w:val="0"/>
          <w:smallCaps w:val="0"/>
          <w:strike w:val="0"/>
          <w:sz w:val="22"/>
          <w:highlight w:val="cyan"/>
          <w:u w:val="single"/>
        </w:rPr>
        <w:t>less deliberation and analysis</w:t>
      </w:r>
      <w:r>
        <w:rPr>
          <w:b w:val="0"/>
          <w:i w:val="0"/>
          <w:smallCaps w:val="0"/>
          <w:strike w:val="0"/>
          <w:sz w:val="16"/>
          <w:u w:val="none"/>
        </w:rPr>
        <w:t xml:space="preserve">—and often did not consider the most relevant prior art. </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