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 </w:t>
      </w:r>
      <w:r>
        <w:rPr>
          <w:b/>
          <w:i w:val="0"/>
          <w:smallCaps w:val="0"/>
          <w:strike w:val="0"/>
          <w:sz w:val="26"/>
          <w:u w:val="single"/>
        </w:rPr>
        <w:t>litany</w:t>
      </w:r>
      <w:r>
        <w:rPr>
          <w:b/>
          <w:i w:val="0"/>
          <w:smallCaps w:val="0"/>
          <w:strike w:val="0"/>
          <w:sz w:val="26"/>
          <w:u w:val="none"/>
        </w:rPr>
        <w:t xml:space="preserve"> of problems with the PTAB </w:t>
      </w:r>
      <w:r>
        <w:rPr>
          <w:b/>
          <w:i w:val="0"/>
          <w:smallCaps w:val="0"/>
          <w:strike w:val="0"/>
          <w:sz w:val="26"/>
          <w:u w:val="single"/>
        </w:rPr>
        <w:t>outweigh</w:t>
      </w:r>
      <w:r>
        <w:rPr>
          <w:b/>
          <w:i w:val="0"/>
          <w:smallCaps w:val="0"/>
          <w:strike w:val="0"/>
          <w:sz w:val="26"/>
          <w:u w:val="single"/>
        </w:rPr>
        <w:t xml:space="preserve"> their solvency</w:t>
      </w:r>
      <w:r>
        <w:rPr>
          <w:b/>
          <w:i w:val="0"/>
          <w:smallCaps w:val="0"/>
          <w:strike w:val="0"/>
          <w:sz w:val="26"/>
          <w:u w:val="none"/>
        </w:rPr>
        <w:t xml:space="preserve">. </w:t>
      </w:r>
    </w:p>
    <w:p>
      <w:pPr>
        <w:spacing w:after="80"/>
      </w:pPr>
      <w:r>
        <w:rPr>
          <w:b w:val="0"/>
          <w:i w:val="0"/>
          <w:smallCaps w:val="0"/>
          <w:strike w:val="0"/>
          <w:sz w:val="22"/>
          <w:u w:val="none"/>
        </w:rPr>
        <w:t xml:space="preserve">Alden </w:t>
      </w:r>
      <w:r>
        <w:rPr>
          <w:b/>
          <w:i w:val="0"/>
          <w:smallCaps w:val="0"/>
          <w:strike w:val="0"/>
          <w:sz w:val="26"/>
          <w:u w:val="none"/>
        </w:rPr>
        <w:t>Abbott</w:t>
      </w:r>
      <w:r>
        <w:rPr>
          <w:b w:val="0"/>
          <w:i w:val="0"/>
          <w:smallCaps w:val="0"/>
          <w:strike w:val="0"/>
          <w:sz w:val="22"/>
          <w:u w:val="none"/>
        </w:rPr>
        <w:t xml:space="preserve"> 9-27-20</w:t>
      </w:r>
      <w:r>
        <w:rPr>
          <w:b/>
          <w:i w:val="0"/>
          <w:smallCaps w:val="0"/>
          <w:strike w:val="0"/>
          <w:sz w:val="26"/>
          <w:u w:val="none"/>
        </w:rPr>
        <w:t>17</w:t>
      </w:r>
      <w:r>
        <w:rPr>
          <w:b w:val="0"/>
          <w:i w:val="0"/>
          <w:smallCaps w:val="0"/>
          <w:strike w:val="0"/>
          <w:sz w:val="22"/>
          <w:u w:val="none"/>
        </w:rPr>
        <w:t xml:space="preserve">, Deputy Director of Edwin Meese III Center for Legal and Judicial Studies at The Heritage Foundation. The Heritage Foundation, “The Supreme Court Must Protect Patent Rights,” </w:t>
      </w:r>
      <w:r>
        <w:rPr>
          <w:b w:val="0"/>
          <w:i w:val="0"/>
          <w:smallCaps w:val="0"/>
          <w:strike w:val="0"/>
          <w:sz w:val="22"/>
          <w:u w:val="none"/>
        </w:rPr>
        <w:t>https://www.heritage.org/courts/commentary/the-supreme-court-must-protect-patent-rights</w:t>
      </w:r>
      <w:r>
        <w:rPr>
          <w:b w:val="0"/>
          <w:i w:val="0"/>
          <w:smallCaps w:val="0"/>
          <w:strike w:val="0"/>
          <w:sz w:val="22"/>
          <w:u w:val="none"/>
        </w:rPr>
        <w:t>, //ff</w:t>
      </w:r>
    </w:p>
    <w:p>
      <w:pPr>
        <w:spacing w:after="60"/>
      </w:pPr>
      <w:r>
        <w:rPr>
          <w:b w:val="0"/>
          <w:i w:val="0"/>
          <w:smallCaps w:val="0"/>
          <w:strike w:val="0"/>
          <w:sz w:val="16"/>
          <w:u w:val="none"/>
        </w:rPr>
        <w:t xml:space="preserve">What’s worse, </w:t>
      </w:r>
      <w:r>
        <w:rPr>
          <w:b w:val="0"/>
          <w:i w:val="0"/>
          <w:smallCaps w:val="0"/>
          <w:strike w:val="0"/>
          <w:sz w:val="22"/>
          <w:u w:val="single"/>
        </w:rPr>
        <w:t>the</w:t>
      </w:r>
      <w:r>
        <w:rPr>
          <w:b w:val="0"/>
          <w:i w:val="0"/>
          <w:smallCaps w:val="0"/>
          <w:strike w:val="0"/>
          <w:sz w:val="16"/>
          <w:u w:val="none"/>
        </w:rPr>
        <w:t xml:space="preserve"> America Invents Act (</w:t>
      </w:r>
      <w:r>
        <w:rPr>
          <w:b w:val="0"/>
          <w:i w:val="0"/>
          <w:smallCaps w:val="0"/>
          <w:strike w:val="0"/>
          <w:sz w:val="22"/>
          <w:u w:val="single"/>
        </w:rPr>
        <w:t>AIA</w:t>
      </w:r>
      <w:r>
        <w:rPr>
          <w:b w:val="0"/>
          <w:i w:val="0"/>
          <w:smallCaps w:val="0"/>
          <w:strike w:val="0"/>
          <w:sz w:val="16"/>
          <w:u w:val="none"/>
        </w:rPr>
        <w:t xml:space="preserve">) of 2011 </w:t>
      </w:r>
      <w:r>
        <w:rPr>
          <w:b w:val="0"/>
          <w:i w:val="0"/>
          <w:smallCaps w:val="0"/>
          <w:strike w:val="0"/>
          <w:sz w:val="22"/>
          <w:u w:val="single"/>
        </w:rPr>
        <w:t>established</w:t>
      </w:r>
      <w:r>
        <w:rPr>
          <w:b w:val="0"/>
          <w:i w:val="0"/>
          <w:smallCaps w:val="0"/>
          <w:strike w:val="0"/>
          <w:sz w:val="16"/>
          <w:u w:val="none"/>
        </w:rPr>
        <w:t xml:space="preserve"> a “</w:t>
      </w:r>
      <w:r>
        <w:rPr>
          <w:b w:val="0"/>
          <w:i w:val="0"/>
          <w:smallCaps w:val="0"/>
          <w:strike w:val="0"/>
          <w:sz w:val="22"/>
          <w:highlight w:val="cyan"/>
          <w:u w:val="single"/>
        </w:rPr>
        <w:t>P</w:t>
      </w:r>
      <w:r>
        <w:rPr>
          <w:b w:val="0"/>
          <w:i w:val="0"/>
          <w:smallCaps w:val="0"/>
          <w:strike w:val="0"/>
          <w:sz w:val="16"/>
          <w:u w:val="none"/>
        </w:rPr>
        <w:t xml:space="preserve">atent </w:t>
      </w:r>
      <w:r>
        <w:rPr>
          <w:b w:val="0"/>
          <w:i w:val="0"/>
          <w:smallCaps w:val="0"/>
          <w:strike w:val="0"/>
          <w:sz w:val="22"/>
          <w:highlight w:val="cyan"/>
          <w:u w:val="single"/>
        </w:rPr>
        <w:t>T</w:t>
      </w:r>
      <w:r>
        <w:rPr>
          <w:b w:val="0"/>
          <w:i w:val="0"/>
          <w:smallCaps w:val="0"/>
          <w:strike w:val="0"/>
          <w:sz w:val="16"/>
          <w:u w:val="none"/>
        </w:rPr>
        <w:t xml:space="preserve">rial and </w:t>
      </w:r>
      <w:r>
        <w:rPr>
          <w:b w:val="0"/>
          <w:i w:val="0"/>
          <w:smallCaps w:val="0"/>
          <w:strike w:val="0"/>
          <w:sz w:val="22"/>
          <w:highlight w:val="cyan"/>
          <w:u w:val="single"/>
        </w:rPr>
        <w:t>A</w:t>
      </w:r>
      <w:r>
        <w:rPr>
          <w:b w:val="0"/>
          <w:i w:val="0"/>
          <w:smallCaps w:val="0"/>
          <w:strike w:val="0"/>
          <w:sz w:val="16"/>
          <w:u w:val="none"/>
        </w:rPr>
        <w:t xml:space="preserve">ppeals </w:t>
      </w:r>
      <w:r>
        <w:rPr>
          <w:b w:val="0"/>
          <w:i w:val="0"/>
          <w:smallCaps w:val="0"/>
          <w:strike w:val="0"/>
          <w:sz w:val="22"/>
          <w:highlight w:val="cyan"/>
          <w:u w:val="single"/>
        </w:rPr>
        <w:t>B</w:t>
      </w:r>
      <w:r>
        <w:rPr>
          <w:b w:val="0"/>
          <w:i w:val="0"/>
          <w:smallCaps w:val="0"/>
          <w:strike w:val="0"/>
          <w:sz w:val="16"/>
          <w:u w:val="none"/>
        </w:rPr>
        <w:t xml:space="preserve">oard” within PTO </w:t>
      </w:r>
      <w:r>
        <w:rPr>
          <w:b w:val="0"/>
          <w:i w:val="0"/>
          <w:smallCaps w:val="0"/>
          <w:strike w:val="0"/>
          <w:sz w:val="22"/>
          <w:u w:val="single"/>
        </w:rPr>
        <w:t>to review already issued patents at the request of third parties</w:t>
      </w:r>
      <w:r>
        <w:rPr>
          <w:b w:val="0"/>
          <w:i w:val="0"/>
          <w:smallCaps w:val="0"/>
          <w:strike w:val="0"/>
          <w:sz w:val="16"/>
          <w:u w:val="none"/>
        </w:rPr>
        <w:t xml:space="preserve">. A key justification for the board was that it could help eliminate “bad quality” patents that should not have been issued in the first place. Moreover, </w:t>
      </w:r>
      <w:r>
        <w:rPr>
          <w:b w:val="0"/>
          <w:i w:val="0"/>
          <w:smallCaps w:val="0"/>
          <w:strike w:val="0"/>
          <w:sz w:val="22"/>
          <w:u w:val="single"/>
        </w:rPr>
        <w:t xml:space="preserve">it </w:t>
      </w:r>
      <w:r>
        <w:rPr>
          <w:b w:val="0"/>
          <w:i w:val="0"/>
          <w:smallCaps w:val="0"/>
          <w:strike w:val="0"/>
          <w:sz w:val="22"/>
          <w:highlight w:val="cyan"/>
          <w:u w:val="single"/>
        </w:rPr>
        <w:t>was supposed to</w:t>
      </w:r>
      <w:r>
        <w:rPr>
          <w:b w:val="0"/>
          <w:i w:val="0"/>
          <w:smallCaps w:val="0"/>
          <w:strike w:val="0"/>
          <w:sz w:val="22"/>
          <w:u w:val="single"/>
        </w:rPr>
        <w:t xml:space="preserve"> be a “</w:t>
      </w:r>
      <w:r>
        <w:rPr>
          <w:b w:val="0"/>
          <w:i w:val="0"/>
          <w:smallCaps w:val="0"/>
          <w:strike w:val="0"/>
          <w:sz w:val="22"/>
          <w:highlight w:val="cyan"/>
          <w:u w:val="single"/>
        </w:rPr>
        <w:t>fast track</w:t>
      </w:r>
      <w:r>
        <w:rPr>
          <w:b w:val="0"/>
          <w:i w:val="0"/>
          <w:smallCaps w:val="0"/>
          <w:strike w:val="0"/>
          <w:sz w:val="22"/>
          <w:u w:val="single"/>
        </w:rPr>
        <w:t xml:space="preserve">” alternative to sluggish and costly </w:t>
      </w:r>
      <w:r>
        <w:rPr>
          <w:b w:val="0"/>
          <w:i w:val="0"/>
          <w:smallCaps w:val="0"/>
          <w:strike w:val="0"/>
          <w:sz w:val="22"/>
          <w:highlight w:val="cyan"/>
          <w:u w:val="single"/>
        </w:rPr>
        <w:t>court challenges</w:t>
      </w:r>
      <w:r>
        <w:rPr>
          <w:b w:val="0"/>
          <w:i w:val="0"/>
          <w:smallCaps w:val="0"/>
          <w:strike w:val="0"/>
          <w:sz w:val="16"/>
          <w:u w:val="none"/>
        </w:rPr>
        <w:t xml:space="preserve"> to patent validity. </w:t>
      </w:r>
      <w:r>
        <w:rPr>
          <w:b w:val="0"/>
          <w:i w:val="0"/>
          <w:smallCaps w:val="0"/>
          <w:strike w:val="0"/>
          <w:sz w:val="22"/>
          <w:u w:val="single"/>
        </w:rPr>
        <w:t>In reality</w:t>
      </w:r>
      <w:r>
        <w:rPr>
          <w:b w:val="0"/>
          <w:i w:val="0"/>
          <w:smallCaps w:val="0"/>
          <w:strike w:val="0"/>
          <w:sz w:val="16"/>
          <w:u w:val="none"/>
        </w:rPr>
        <w:t xml:space="preserve">, however, the </w:t>
      </w:r>
      <w:r>
        <w:rPr>
          <w:b w:val="0"/>
          <w:i w:val="0"/>
          <w:smallCaps w:val="0"/>
          <w:strike w:val="0"/>
          <w:sz w:val="22"/>
          <w:u w:val="single"/>
        </w:rPr>
        <w:t xml:space="preserve">vast majority of </w:t>
      </w:r>
      <w:r>
        <w:rPr>
          <w:b w:val="0"/>
          <w:i w:val="0"/>
          <w:smallCaps w:val="0"/>
          <w:strike w:val="0"/>
          <w:sz w:val="22"/>
          <w:highlight w:val="cyan"/>
          <w:u w:val="single"/>
        </w:rPr>
        <w:t>board reviews occur concurrently</w:t>
      </w:r>
      <w:r>
        <w:rPr>
          <w:b w:val="0"/>
          <w:i w:val="0"/>
          <w:smallCaps w:val="0"/>
          <w:strike w:val="0"/>
          <w:sz w:val="22"/>
          <w:u w:val="single"/>
        </w:rPr>
        <w:t xml:space="preserve"> with federal court challenges</w:t>
      </w:r>
      <w:r>
        <w:rPr>
          <w:b w:val="0"/>
          <w:i w:val="0"/>
          <w:smallCaps w:val="0"/>
          <w:strike w:val="0"/>
          <w:sz w:val="16"/>
          <w:u w:val="none"/>
        </w:rPr>
        <w:t xml:space="preserve">. Thus, the hoped for saving in litigation costs has not occurred. Indeed, the </w:t>
      </w:r>
      <w:r>
        <w:rPr>
          <w:b w:val="0"/>
          <w:i w:val="0"/>
          <w:smallCaps w:val="0"/>
          <w:strike w:val="0"/>
          <w:sz w:val="22"/>
          <w:u w:val="single"/>
        </w:rPr>
        <w:t xml:space="preserve">administrative </w:t>
      </w:r>
      <w:r>
        <w:rPr>
          <w:b w:val="0"/>
          <w:i w:val="0"/>
          <w:smallCaps w:val="0"/>
          <w:strike w:val="0"/>
          <w:sz w:val="22"/>
          <w:highlight w:val="cyan"/>
          <w:u w:val="single"/>
        </w:rPr>
        <w:t>costs</w:t>
      </w:r>
      <w:r>
        <w:rPr>
          <w:b w:val="0"/>
          <w:i w:val="0"/>
          <w:smallCaps w:val="0"/>
          <w:strike w:val="0"/>
          <w:sz w:val="22"/>
          <w:u w:val="single"/>
        </w:rPr>
        <w:t xml:space="preserve"> of lawsuits plus board challenges may be </w:t>
      </w:r>
      <w:r>
        <w:rPr>
          <w:b w:val="0"/>
          <w:i w:val="0"/>
          <w:smallCaps w:val="0"/>
          <w:strike w:val="0"/>
          <w:sz w:val="22"/>
          <w:highlight w:val="cyan"/>
          <w:u w:val="single"/>
        </w:rPr>
        <w:t>higher than before</w:t>
      </w:r>
      <w:r>
        <w:rPr>
          <w:b w:val="0"/>
          <w:i w:val="0"/>
          <w:smallCaps w:val="0"/>
          <w:strike w:val="0"/>
          <w:sz w:val="22"/>
          <w:u w:val="single"/>
        </w:rPr>
        <w:t xml:space="preserve"> the </w:t>
      </w:r>
      <w:r>
        <w:rPr>
          <w:b w:val="0"/>
          <w:i w:val="0"/>
          <w:smallCaps w:val="0"/>
          <w:strike w:val="0"/>
          <w:sz w:val="22"/>
          <w:highlight w:val="cyan"/>
          <w:u w:val="single"/>
        </w:rPr>
        <w:t>AIA</w:t>
      </w:r>
      <w:r>
        <w:rPr>
          <w:b w:val="0"/>
          <w:i w:val="0"/>
          <w:smallCaps w:val="0"/>
          <w:strike w:val="0"/>
          <w:sz w:val="16"/>
          <w:u w:val="none"/>
        </w:rPr>
        <w:t>.</w:t>
      </w:r>
    </w:p>
    <w:p>
      <w:pPr>
        <w:spacing w:after="60"/>
      </w:pPr>
      <w:r>
        <w:rPr>
          <w:b w:val="0"/>
          <w:i w:val="0"/>
          <w:smallCaps w:val="0"/>
          <w:strike w:val="0"/>
          <w:sz w:val="16"/>
          <w:u w:val="none"/>
        </w:rPr>
        <w:t xml:space="preserve">Even more seriously, the </w:t>
      </w:r>
      <w:r>
        <w:rPr>
          <w:b w:val="0"/>
          <w:i w:val="0"/>
          <w:smallCaps w:val="0"/>
          <w:strike w:val="0"/>
          <w:sz w:val="22"/>
          <w:u w:val="single"/>
        </w:rPr>
        <w:t xml:space="preserve">board </w:t>
      </w:r>
      <w:r>
        <w:rPr>
          <w:b w:val="0"/>
          <w:i w:val="0"/>
          <w:smallCaps w:val="0"/>
          <w:strike w:val="0"/>
          <w:sz w:val="22"/>
          <w:highlight w:val="cyan"/>
          <w:u w:val="single"/>
        </w:rPr>
        <w:t>reviews</w:t>
      </w:r>
      <w:r>
        <w:rPr>
          <w:b w:val="0"/>
          <w:i w:val="0"/>
          <w:smallCaps w:val="0"/>
          <w:strike w:val="0"/>
          <w:sz w:val="22"/>
          <w:u w:val="single"/>
        </w:rPr>
        <w:t xml:space="preserve"> have been handled in a way that </w:t>
      </w:r>
      <w:r>
        <w:rPr>
          <w:b w:val="0"/>
          <w:i w:val="0"/>
          <w:smallCaps w:val="0"/>
          <w:strike w:val="0"/>
          <w:sz w:val="22"/>
          <w:highlight w:val="cyan"/>
          <w:u w:val="single"/>
        </w:rPr>
        <w:t>undermine</w:t>
      </w:r>
      <w:r>
        <w:rPr>
          <w:b w:val="0"/>
          <w:i w:val="0"/>
          <w:smallCaps w:val="0"/>
          <w:strike w:val="0"/>
          <w:sz w:val="22"/>
          <w:u w:val="single"/>
        </w:rPr>
        <w:t xml:space="preserve">s fundamental </w:t>
      </w:r>
      <w:r>
        <w:rPr>
          <w:b w:val="0"/>
          <w:i w:val="0"/>
          <w:smallCaps w:val="0"/>
          <w:strike w:val="0"/>
          <w:sz w:val="22"/>
          <w:highlight w:val="cyan"/>
          <w:u w:val="single"/>
        </w:rPr>
        <w:t>rights of</w:t>
      </w:r>
      <w:r>
        <w:rPr>
          <w:b w:val="0"/>
          <w:i w:val="0"/>
          <w:smallCaps w:val="0"/>
          <w:strike w:val="0"/>
          <w:sz w:val="22"/>
          <w:u w:val="single"/>
        </w:rPr>
        <w:t xml:space="preserve"> patent </w:t>
      </w:r>
      <w:r>
        <w:rPr>
          <w:b w:val="0"/>
          <w:i w:val="0"/>
          <w:smallCaps w:val="0"/>
          <w:strike w:val="0"/>
          <w:sz w:val="22"/>
          <w:highlight w:val="cyan"/>
          <w:u w:val="single"/>
        </w:rPr>
        <w:t>holders</w:t>
      </w:r>
      <w:r>
        <w:rPr>
          <w:b w:val="0"/>
          <w:i w:val="0"/>
          <w:smallCaps w:val="0"/>
          <w:strike w:val="0"/>
          <w:sz w:val="16"/>
          <w:u w:val="none"/>
        </w:rPr>
        <w:t xml:space="preserve"> — </w:t>
      </w:r>
      <w:r>
        <w:rPr>
          <w:b w:val="0"/>
          <w:i w:val="0"/>
          <w:smallCaps w:val="0"/>
          <w:strike w:val="0"/>
          <w:sz w:val="22"/>
          <w:u w:val="single"/>
        </w:rPr>
        <w:t>regardless of whether their patents are strong or questionable</w:t>
      </w:r>
      <w:r>
        <w:rPr>
          <w:b w:val="0"/>
          <w:i w:val="0"/>
          <w:smallCaps w:val="0"/>
          <w:strike w:val="0"/>
          <w:sz w:val="16"/>
          <w:u w:val="none"/>
        </w:rPr>
        <w:t xml:space="preserve">. This is because, as a result of PTO regulation, the board </w:t>
      </w:r>
      <w:r>
        <w:rPr>
          <w:b w:val="0"/>
          <w:i w:val="0"/>
          <w:smallCaps w:val="0"/>
          <w:strike w:val="0"/>
          <w:sz w:val="22"/>
          <w:u w:val="single"/>
        </w:rPr>
        <w:t>reviews are designed to make it harder to uphold patents</w:t>
      </w:r>
      <w:r>
        <w:rPr>
          <w:b w:val="0"/>
          <w:i w:val="0"/>
          <w:smallCaps w:val="0"/>
          <w:strike w:val="0"/>
          <w:sz w:val="16"/>
          <w:u w:val="none"/>
        </w:rPr>
        <w:t>. The board reviews also fail to meet standards of fundamental fairness employed by the federal courts. The Patent Act states that “a patent shall be presumed valid” and that “the burden of establishing invalidity of a patent or any claim thereof shall rest on the party asserting such invalidity.”</w:t>
      </w:r>
    </w:p>
    <w:p>
      <w:pPr>
        <w:spacing w:after="60"/>
      </w:pPr>
      <w:r>
        <w:rPr>
          <w:b w:val="0"/>
          <w:i w:val="0"/>
          <w:smallCaps w:val="0"/>
          <w:strike w:val="0"/>
          <w:sz w:val="16"/>
          <w:u w:val="none"/>
        </w:rPr>
        <w:t>Consistent with this clear statutory dictate, federal trial courts provide a great deal of protection to patent owners whose patent rights are under challenge. To overturn patents, they require “clear and convincing evidence.” This means that a patent will be struck down only if it is substantially more likely than not that it is invalid. The courts also assess the “ordinary and customary meaning” of patent terms in determining patent validity, a well-established neutral standard.</w:t>
      </w:r>
    </w:p>
    <w:p>
      <w:pPr>
        <w:spacing w:after="60"/>
      </w:pPr>
      <w:r>
        <w:rPr>
          <w:b w:val="0"/>
          <w:i w:val="0"/>
          <w:smallCaps w:val="0"/>
          <w:strike w:val="0"/>
          <w:sz w:val="16"/>
          <w:u w:val="none"/>
        </w:rPr>
        <w:t xml:space="preserve">The board, however, determines patent validity based on a mere “preponderance of the evidence” standard — a standard imposed by PTO regulation, not by the Patent Act itself. It means that a patent will be overturned if the panel believes that there is more than a 50 percent chance the patent is invalid. In application, this “fifty-fifty” test means that panels are far more likely to strike down patents than trial courts. </w:t>
      </w:r>
      <w:r>
        <w:rPr>
          <w:b w:val="0"/>
          <w:i w:val="0"/>
          <w:smallCaps w:val="0"/>
          <w:strike w:val="0"/>
          <w:sz w:val="16"/>
          <w:u w:val="none"/>
        </w:rPr>
        <w:t>Thus</w:t>
      </w:r>
      <w:r>
        <w:rPr>
          <w:b w:val="0"/>
          <w:i w:val="0"/>
          <w:smallCaps w:val="0"/>
          <w:strike w:val="0"/>
          <w:sz w:val="16"/>
          <w:u w:val="none"/>
        </w:rPr>
        <w:t xml:space="preserve"> the statutory presumption of patent validity means less than it did before the Patent Trial and Appeals Board system existed.</w:t>
      </w:r>
    </w:p>
    <w:p>
      <w:pPr>
        <w:spacing w:after="60"/>
      </w:pPr>
      <w:r>
        <w:rPr>
          <w:b w:val="0"/>
          <w:i w:val="0"/>
          <w:smallCaps w:val="0"/>
          <w:strike w:val="0"/>
          <w:sz w:val="16"/>
          <w:u w:val="none"/>
        </w:rPr>
        <w:t xml:space="preserve">Perhaps even more significantly, </w:t>
      </w:r>
      <w:r>
        <w:rPr>
          <w:b w:val="0"/>
          <w:i w:val="0"/>
          <w:smallCaps w:val="0"/>
          <w:strike w:val="0"/>
          <w:sz w:val="22"/>
          <w:highlight w:val="cyan"/>
          <w:u w:val="single"/>
        </w:rPr>
        <w:t>panels apply</w:t>
      </w:r>
      <w:r>
        <w:rPr>
          <w:b w:val="0"/>
          <w:i w:val="0"/>
          <w:smallCaps w:val="0"/>
          <w:strike w:val="0"/>
          <w:sz w:val="22"/>
          <w:u w:val="single"/>
        </w:rPr>
        <w:t xml:space="preserve"> a </w:t>
      </w:r>
      <w:r>
        <w:rPr>
          <w:b w:val="0"/>
          <w:i w:val="0"/>
          <w:smallCaps w:val="0"/>
          <w:strike w:val="0"/>
          <w:sz w:val="22"/>
          <w:highlight w:val="cyan"/>
          <w:u w:val="single"/>
        </w:rPr>
        <w:t>“broadest reasonable interpretation”</w:t>
      </w:r>
      <w:r>
        <w:rPr>
          <w:b w:val="0"/>
          <w:i w:val="0"/>
          <w:smallCaps w:val="0"/>
          <w:strike w:val="0"/>
          <w:sz w:val="22"/>
          <w:u w:val="single"/>
        </w:rPr>
        <w:t xml:space="preserve"> standard </w:t>
      </w:r>
      <w:r>
        <w:rPr>
          <w:b w:val="0"/>
          <w:i w:val="0"/>
          <w:smallCaps w:val="0"/>
          <w:strike w:val="0"/>
          <w:sz w:val="22"/>
          <w:highlight w:val="cyan"/>
          <w:u w:val="single"/>
        </w:rPr>
        <w:t>to</w:t>
      </w:r>
      <w:r>
        <w:rPr>
          <w:b w:val="0"/>
          <w:i w:val="0"/>
          <w:smallCaps w:val="0"/>
          <w:strike w:val="0"/>
          <w:sz w:val="22"/>
          <w:u w:val="single"/>
        </w:rPr>
        <w:t xml:space="preserve"> patent </w:t>
      </w:r>
      <w:r>
        <w:rPr>
          <w:b w:val="0"/>
          <w:i w:val="0"/>
          <w:smallCaps w:val="0"/>
          <w:strike w:val="0"/>
          <w:sz w:val="22"/>
          <w:highlight w:val="cyan"/>
          <w:u w:val="single"/>
        </w:rPr>
        <w:t>claims</w:t>
      </w:r>
      <w:r>
        <w:rPr>
          <w:b w:val="0"/>
          <w:i w:val="0"/>
          <w:smallCaps w:val="0"/>
          <w:strike w:val="0"/>
          <w:sz w:val="16"/>
          <w:u w:val="none"/>
        </w:rPr>
        <w:t xml:space="preserve">. This test </w:t>
      </w:r>
      <w:r>
        <w:rPr>
          <w:b w:val="0"/>
          <w:i w:val="0"/>
          <w:smallCaps w:val="0"/>
          <w:strike w:val="0"/>
          <w:sz w:val="22"/>
          <w:u w:val="single"/>
        </w:rPr>
        <w:t xml:space="preserve">makes it </w:t>
      </w:r>
      <w:r>
        <w:rPr>
          <w:b w:val="0"/>
          <w:i w:val="0"/>
          <w:smallCaps w:val="0"/>
          <w:strike w:val="0"/>
          <w:sz w:val="22"/>
          <w:highlight w:val="cyan"/>
          <w:u w:val="single"/>
        </w:rPr>
        <w:t>much easier to strike</w:t>
      </w:r>
      <w:r>
        <w:rPr>
          <w:b w:val="0"/>
          <w:i w:val="0"/>
          <w:smallCaps w:val="0"/>
          <w:strike w:val="0"/>
          <w:sz w:val="22"/>
          <w:u w:val="single"/>
        </w:rPr>
        <w:t xml:space="preserve"> down </w:t>
      </w:r>
      <w:r>
        <w:rPr>
          <w:b w:val="0"/>
          <w:i w:val="0"/>
          <w:smallCaps w:val="0"/>
          <w:strike w:val="0"/>
          <w:sz w:val="22"/>
          <w:highlight w:val="cyan"/>
          <w:u w:val="single"/>
        </w:rPr>
        <w:t>patents</w:t>
      </w:r>
      <w:r>
        <w:rPr>
          <w:b w:val="0"/>
          <w:i w:val="0"/>
          <w:smallCaps w:val="0"/>
          <w:strike w:val="0"/>
          <w:sz w:val="22"/>
          <w:u w:val="single"/>
        </w:rPr>
        <w:t xml:space="preserve"> as “overly broad” </w:t>
      </w:r>
      <w:r>
        <w:rPr>
          <w:b w:val="0"/>
          <w:i w:val="0"/>
          <w:smallCaps w:val="0"/>
          <w:strike w:val="0"/>
          <w:sz w:val="22"/>
          <w:highlight w:val="cyan"/>
          <w:u w:val="single"/>
        </w:rPr>
        <w:t>compared to the</w:t>
      </w:r>
      <w:r>
        <w:rPr>
          <w:b w:val="0"/>
          <w:i w:val="0"/>
          <w:smallCaps w:val="0"/>
          <w:strike w:val="0"/>
          <w:sz w:val="16"/>
          <w:u w:val="none"/>
        </w:rPr>
        <w:t xml:space="preserve"> federal </w:t>
      </w:r>
      <w:r>
        <w:rPr>
          <w:b w:val="0"/>
          <w:i w:val="0"/>
          <w:smallCaps w:val="0"/>
          <w:strike w:val="0"/>
          <w:sz w:val="22"/>
          <w:highlight w:val="cyan"/>
          <w:u w:val="single"/>
        </w:rPr>
        <w:t>courts</w:t>
      </w:r>
      <w:r>
        <w:rPr>
          <w:b w:val="0"/>
          <w:i w:val="0"/>
          <w:smallCaps w:val="0"/>
          <w:strike w:val="0"/>
          <w:sz w:val="22"/>
          <w:u w:val="single"/>
        </w:rPr>
        <w:t>’</w:t>
      </w:r>
      <w:r>
        <w:rPr>
          <w:b w:val="0"/>
          <w:i w:val="0"/>
          <w:smallCaps w:val="0"/>
          <w:strike w:val="0"/>
          <w:sz w:val="22"/>
          <w:u w:val="single"/>
        </w:rPr>
        <w:t xml:space="preserve"> “ordinary and customary meaning” </w:t>
      </w:r>
      <w:r>
        <w:rPr>
          <w:b w:val="0"/>
          <w:i w:val="0"/>
          <w:smallCaps w:val="0"/>
          <w:strike w:val="0"/>
          <w:sz w:val="22"/>
          <w:u w:val="single"/>
        </w:rPr>
        <w:t>standard</w:t>
      </w:r>
      <w:r>
        <w:rPr>
          <w:b w:val="0"/>
          <w:i w:val="0"/>
          <w:smallCaps w:val="0"/>
          <w:strike w:val="0"/>
          <w:sz w:val="16"/>
          <w:u w:val="none"/>
        </w:rPr>
        <w:t>.</w:t>
      </w:r>
    </w:p>
    <w:p>
      <w:pPr>
        <w:spacing w:after="60"/>
      </w:pPr>
      <w:r>
        <w:rPr>
          <w:b w:val="0"/>
          <w:i w:val="0"/>
          <w:smallCaps w:val="0"/>
          <w:strike w:val="0"/>
          <w:sz w:val="16"/>
          <w:u w:val="none"/>
        </w:rPr>
        <w:t xml:space="preserve">It gets worse. Board review raises serious due process problems, as well. These include: </w:t>
      </w:r>
      <w:r>
        <w:rPr>
          <w:b w:val="0"/>
          <w:i w:val="0"/>
          <w:smallCaps w:val="0"/>
          <w:strike w:val="0"/>
          <w:sz w:val="22"/>
          <w:highlight w:val="cyan"/>
          <w:u w:val="single"/>
        </w:rPr>
        <w:t>conflicts of interest</w:t>
      </w:r>
      <w:r>
        <w:rPr>
          <w:b w:val="0"/>
          <w:i w:val="0"/>
          <w:smallCaps w:val="0"/>
          <w:strike w:val="0"/>
          <w:sz w:val="22"/>
          <w:u w:val="single"/>
        </w:rPr>
        <w:t xml:space="preserve"> by panel members; PTO’s </w:t>
      </w:r>
      <w:r>
        <w:rPr>
          <w:b w:val="0"/>
          <w:i w:val="0"/>
          <w:smallCaps w:val="0"/>
          <w:strike w:val="0"/>
          <w:sz w:val="22"/>
          <w:highlight w:val="cyan"/>
          <w:u w:val="single"/>
        </w:rPr>
        <w:t>“stacking” of panels</w:t>
      </w:r>
      <w:r>
        <w:rPr>
          <w:b w:val="0"/>
          <w:i w:val="0"/>
          <w:smallCaps w:val="0"/>
          <w:strike w:val="0"/>
          <w:sz w:val="22"/>
          <w:u w:val="single"/>
        </w:rPr>
        <w:t xml:space="preserve"> to produce desired results; </w:t>
      </w:r>
      <w:r>
        <w:rPr>
          <w:b w:val="0"/>
          <w:i w:val="0"/>
          <w:smallCaps w:val="0"/>
          <w:strike w:val="0"/>
          <w:sz w:val="22"/>
          <w:highlight w:val="cyan"/>
          <w:u w:val="single"/>
        </w:rPr>
        <w:t>abuses in</w:t>
      </w:r>
      <w:r>
        <w:rPr>
          <w:b w:val="0"/>
          <w:i w:val="0"/>
          <w:smallCaps w:val="0"/>
          <w:strike w:val="0"/>
          <w:sz w:val="22"/>
          <w:u w:val="single"/>
        </w:rPr>
        <w:t xml:space="preserve"> the consideration of supplementary </w:t>
      </w:r>
      <w:r>
        <w:rPr>
          <w:b w:val="0"/>
          <w:i w:val="0"/>
          <w:smallCaps w:val="0"/>
          <w:strike w:val="0"/>
          <w:sz w:val="22"/>
          <w:highlight w:val="cyan"/>
          <w:u w:val="single"/>
        </w:rPr>
        <w:t>evidence</w:t>
      </w:r>
      <w:r>
        <w:rPr>
          <w:b w:val="0"/>
          <w:i w:val="0"/>
          <w:smallCaps w:val="0"/>
          <w:strike w:val="0"/>
          <w:sz w:val="22"/>
          <w:u w:val="single"/>
        </w:rPr>
        <w:t xml:space="preserve">; </w:t>
      </w:r>
      <w:r>
        <w:rPr>
          <w:b w:val="0"/>
          <w:i w:val="0"/>
          <w:smallCaps w:val="0"/>
          <w:strike w:val="0"/>
          <w:sz w:val="22"/>
          <w:highlight w:val="cyan"/>
          <w:u w:val="single"/>
        </w:rPr>
        <w:t>denial</w:t>
      </w:r>
      <w:r>
        <w:rPr>
          <w:b w:val="0"/>
          <w:i w:val="0"/>
          <w:smallCaps w:val="0"/>
          <w:strike w:val="0"/>
          <w:sz w:val="22"/>
          <w:u w:val="single"/>
        </w:rPr>
        <w:t xml:space="preserve"> of the opportunity </w:t>
      </w:r>
      <w:r>
        <w:rPr>
          <w:b w:val="0"/>
          <w:i w:val="0"/>
          <w:smallCaps w:val="0"/>
          <w:strike w:val="0"/>
          <w:sz w:val="22"/>
          <w:highlight w:val="cyan"/>
          <w:u w:val="single"/>
        </w:rPr>
        <w:t>to respond</w:t>
      </w:r>
      <w:r>
        <w:rPr>
          <w:b w:val="0"/>
          <w:i w:val="0"/>
          <w:smallCaps w:val="0"/>
          <w:strike w:val="0"/>
          <w:sz w:val="22"/>
          <w:u w:val="single"/>
        </w:rPr>
        <w:t xml:space="preserve"> to arguments against patent validity; and </w:t>
      </w:r>
      <w:r>
        <w:rPr>
          <w:b w:val="0"/>
          <w:i w:val="0"/>
          <w:smallCaps w:val="0"/>
          <w:strike w:val="0"/>
          <w:sz w:val="22"/>
          <w:highlight w:val="cyan"/>
          <w:u w:val="single"/>
        </w:rPr>
        <w:t>arbitrary</w:t>
      </w:r>
      <w:r>
        <w:rPr>
          <w:b w:val="0"/>
          <w:i w:val="0"/>
          <w:smallCaps w:val="0"/>
          <w:strike w:val="0"/>
          <w:sz w:val="22"/>
          <w:u w:val="single"/>
        </w:rPr>
        <w:t xml:space="preserve"> and </w:t>
      </w:r>
      <w:r>
        <w:rPr>
          <w:b w:val="0"/>
          <w:i w:val="0"/>
          <w:smallCaps w:val="0"/>
          <w:strike w:val="0"/>
          <w:sz w:val="22"/>
          <w:highlight w:val="cyan"/>
          <w:u w:val="single"/>
        </w:rPr>
        <w:t>capricious denial of the</w:t>
      </w:r>
      <w:r>
        <w:rPr>
          <w:b w:val="0"/>
          <w:i w:val="0"/>
          <w:smallCaps w:val="0"/>
          <w:strike w:val="0"/>
          <w:sz w:val="22"/>
          <w:u w:val="single"/>
        </w:rPr>
        <w:t xml:space="preserve"> patent </w:t>
      </w:r>
      <w:r>
        <w:rPr>
          <w:b w:val="0"/>
          <w:i w:val="0"/>
          <w:smallCaps w:val="0"/>
          <w:strike w:val="0"/>
          <w:sz w:val="22"/>
          <w:highlight w:val="cyan"/>
          <w:u w:val="single"/>
        </w:rPr>
        <w:t>holder’s right</w:t>
      </w:r>
      <w:r>
        <w:rPr>
          <w:b w:val="0"/>
          <w:i w:val="0"/>
          <w:smallCaps w:val="0"/>
          <w:strike w:val="0"/>
          <w:sz w:val="22"/>
          <w:u w:val="single"/>
        </w:rPr>
        <w:t xml:space="preserve"> to amend claims</w:t>
      </w:r>
      <w:r>
        <w:rPr>
          <w:b w:val="0"/>
          <w:i w:val="0"/>
          <w:smallCaps w:val="0"/>
          <w:strike w:val="0"/>
          <w:sz w:val="16"/>
          <w:u w:val="none"/>
        </w:rPr>
        <w:t xml:space="preserve">. It </w:t>
      </w:r>
      <w:r>
        <w:rPr>
          <w:b w:val="0"/>
          <w:i w:val="0"/>
          <w:smallCaps w:val="0"/>
          <w:strike w:val="0"/>
          <w:sz w:val="22"/>
          <w:highlight w:val="cyan"/>
          <w:u w:val="single"/>
        </w:rPr>
        <w:t>all</w:t>
      </w:r>
      <w:r>
        <w:rPr>
          <w:b w:val="0"/>
          <w:i w:val="0"/>
          <w:smallCaps w:val="0"/>
          <w:strike w:val="0"/>
          <w:sz w:val="22"/>
          <w:u w:val="single"/>
        </w:rPr>
        <w:t xml:space="preserve"> adds up to “a meaningful risk … [of] unfairly </w:t>
      </w:r>
      <w:r>
        <w:rPr>
          <w:b w:val="0"/>
          <w:i w:val="0"/>
          <w:smallCaps w:val="0"/>
          <w:strike w:val="0"/>
          <w:sz w:val="22"/>
          <w:highlight w:val="cyan"/>
          <w:u w:val="single"/>
        </w:rPr>
        <w:t>strip</w:t>
      </w:r>
      <w:r>
        <w:rPr>
          <w:b w:val="0"/>
          <w:i w:val="0"/>
          <w:smallCaps w:val="0"/>
          <w:strike w:val="0"/>
          <w:sz w:val="22"/>
          <w:u w:val="single"/>
        </w:rPr>
        <w:t xml:space="preserve">ping </w:t>
      </w:r>
      <w:r>
        <w:rPr>
          <w:b w:val="0"/>
          <w:i w:val="0"/>
          <w:smallCaps w:val="0"/>
          <w:strike w:val="0"/>
          <w:sz w:val="22"/>
          <w:highlight w:val="cyan"/>
          <w:u w:val="single"/>
        </w:rPr>
        <w:t>inventors</w:t>
      </w:r>
      <w:r>
        <w:rPr>
          <w:b w:val="0"/>
          <w:i w:val="0"/>
          <w:smallCaps w:val="0"/>
          <w:strike w:val="0"/>
          <w:sz w:val="22"/>
          <w:u w:val="single"/>
        </w:rPr>
        <w:t xml:space="preserve"> of their property </w:t>
      </w:r>
      <w:r>
        <w:rPr>
          <w:b w:val="0"/>
          <w:i w:val="0"/>
          <w:smallCaps w:val="0"/>
          <w:strike w:val="0"/>
          <w:sz w:val="22"/>
          <w:highlight w:val="cyan"/>
          <w:u w:val="single"/>
        </w:rPr>
        <w:t>rights</w:t>
      </w:r>
      <w:r>
        <w:rPr>
          <w:b w:val="0"/>
          <w:i w:val="0"/>
          <w:smallCaps w:val="0"/>
          <w:strike w:val="0"/>
          <w:sz w:val="22"/>
          <w:u w:val="single"/>
        </w:rPr>
        <w:t>, which are protected under the Constitution, without the proper safeguards provided in courts to all owners of property rights.”</w:t>
      </w:r>
    </w:p>
    <w:p>
      <w:pPr>
        <w:spacing w:after="60"/>
      </w:pPr>
      <w:r>
        <w:rPr>
          <w:b w:val="0"/>
          <w:i w:val="0"/>
          <w:smallCaps w:val="0"/>
          <w:strike w:val="0"/>
          <w:sz w:val="16"/>
          <w:u w:val="none"/>
        </w:rPr>
        <w:t xml:space="preserve">Randall Rader, a </w:t>
      </w:r>
      <w:r>
        <w:rPr>
          <w:b w:val="0"/>
          <w:i w:val="0"/>
          <w:smallCaps w:val="0"/>
          <w:strike w:val="0"/>
          <w:sz w:val="22"/>
          <w:u w:val="single"/>
        </w:rPr>
        <w:t>former Chief Judge of the Federal Circuit, likened the</w:t>
      </w:r>
      <w:r>
        <w:rPr>
          <w:b w:val="0"/>
          <w:i w:val="0"/>
          <w:smallCaps w:val="0"/>
          <w:strike w:val="0"/>
          <w:sz w:val="16"/>
          <w:u w:val="none"/>
        </w:rPr>
        <w:t xml:space="preserve"> </w:t>
      </w:r>
      <w:r>
        <w:rPr>
          <w:b w:val="0"/>
          <w:i w:val="0"/>
          <w:smallCaps w:val="0"/>
          <w:strike w:val="0"/>
          <w:sz w:val="22"/>
          <w:u w:val="single"/>
        </w:rPr>
        <w:t>P</w:t>
      </w:r>
      <w:r>
        <w:rPr>
          <w:b w:val="0"/>
          <w:i w:val="0"/>
          <w:smallCaps w:val="0"/>
          <w:strike w:val="0"/>
          <w:sz w:val="16"/>
          <w:u w:val="none"/>
        </w:rPr>
        <w:t xml:space="preserve">atent </w:t>
      </w:r>
      <w:r>
        <w:rPr>
          <w:b w:val="0"/>
          <w:i w:val="0"/>
          <w:smallCaps w:val="0"/>
          <w:strike w:val="0"/>
          <w:sz w:val="22"/>
          <w:u w:val="single"/>
        </w:rPr>
        <w:t>T</w:t>
      </w:r>
      <w:r>
        <w:rPr>
          <w:b w:val="0"/>
          <w:i w:val="0"/>
          <w:smallCaps w:val="0"/>
          <w:strike w:val="0"/>
          <w:sz w:val="16"/>
          <w:u w:val="none"/>
        </w:rPr>
        <w:t xml:space="preserve">rial and </w:t>
      </w:r>
      <w:r>
        <w:rPr>
          <w:b w:val="0"/>
          <w:i w:val="0"/>
          <w:smallCaps w:val="0"/>
          <w:strike w:val="0"/>
          <w:sz w:val="22"/>
          <w:u w:val="single"/>
        </w:rPr>
        <w:t>A</w:t>
      </w:r>
      <w:r>
        <w:rPr>
          <w:b w:val="0"/>
          <w:i w:val="0"/>
          <w:smallCaps w:val="0"/>
          <w:strike w:val="0"/>
          <w:sz w:val="16"/>
          <w:u w:val="none"/>
        </w:rPr>
        <w:t xml:space="preserve">ppeals </w:t>
      </w:r>
      <w:r>
        <w:rPr>
          <w:b w:val="0"/>
          <w:i w:val="0"/>
          <w:smallCaps w:val="0"/>
          <w:strike w:val="0"/>
          <w:sz w:val="22"/>
          <w:u w:val="single"/>
        </w:rPr>
        <w:t>B</w:t>
      </w:r>
      <w:r>
        <w:rPr>
          <w:b w:val="0"/>
          <w:i w:val="0"/>
          <w:smallCaps w:val="0"/>
          <w:strike w:val="0"/>
          <w:sz w:val="16"/>
          <w:u w:val="none"/>
        </w:rPr>
        <w:t xml:space="preserve">oard </w:t>
      </w:r>
      <w:r>
        <w:rPr>
          <w:b w:val="0"/>
          <w:i w:val="0"/>
          <w:smallCaps w:val="0"/>
          <w:strike w:val="0"/>
          <w:sz w:val="22"/>
          <w:u w:val="single"/>
        </w:rPr>
        <w:t xml:space="preserve">to </w:t>
      </w:r>
      <w:r>
        <w:rPr>
          <w:b w:val="0"/>
          <w:i w:val="0"/>
          <w:smallCaps w:val="0"/>
          <w:strike w:val="0"/>
          <w:sz w:val="22"/>
          <w:highlight w:val="cyan"/>
          <w:u w:val="single"/>
        </w:rPr>
        <w:t>a</w:t>
      </w:r>
      <w:r>
        <w:rPr>
          <w:b w:val="0"/>
          <w:i w:val="0"/>
          <w:smallCaps w:val="0"/>
          <w:strike w:val="0"/>
          <w:sz w:val="16"/>
          <w:u w:val="none"/>
        </w:rPr>
        <w:t xml:space="preserve"> “</w:t>
      </w:r>
      <w:r>
        <w:rPr>
          <w:b w:val="0"/>
          <w:i w:val="0"/>
          <w:smallCaps w:val="0"/>
          <w:strike w:val="0"/>
          <w:sz w:val="22"/>
          <w:highlight w:val="cyan"/>
          <w:u w:val="single"/>
        </w:rPr>
        <w:t>death squad</w:t>
      </w:r>
      <w:r>
        <w:rPr>
          <w:b w:val="0"/>
          <w:i w:val="0"/>
          <w:smallCaps w:val="0"/>
          <w:strike w:val="0"/>
          <w:sz w:val="22"/>
          <w:u w:val="single"/>
        </w:rPr>
        <w:t>, kind of killing property rights</w:t>
      </w:r>
      <w:r>
        <w:rPr>
          <w:b w:val="0"/>
          <w:i w:val="0"/>
          <w:smallCaps w:val="0"/>
          <w:strike w:val="0"/>
          <w:sz w:val="16"/>
          <w:u w:val="none"/>
        </w:rPr>
        <w:t>.”</w:t>
      </w:r>
      <w:r>
        <w:rPr>
          <w:b w:val="0"/>
          <w:i w:val="0"/>
          <w:smallCaps w:val="0"/>
          <w:strike w:val="0"/>
          <w:sz w:val="16"/>
          <w:u w:val="none"/>
        </w:rPr>
        <w:t xml:space="preserve"> John Whealan, </w:t>
      </w:r>
      <w:r>
        <w:rPr>
          <w:b w:val="0"/>
          <w:i w:val="0"/>
          <w:smallCaps w:val="0"/>
          <w:strike w:val="0"/>
          <w:sz w:val="22"/>
          <w:u w:val="single"/>
        </w:rPr>
        <w:t>PTO’s former chief lawyer</w:t>
      </w:r>
      <w:r>
        <w:rPr>
          <w:b w:val="0"/>
          <w:i w:val="0"/>
          <w:smallCaps w:val="0"/>
          <w:strike w:val="0"/>
          <w:sz w:val="16"/>
          <w:u w:val="none"/>
        </w:rPr>
        <w:t xml:space="preserve"> (and now a professor at George Washington University Law School) recently </w:t>
      </w:r>
      <w:r>
        <w:rPr>
          <w:b w:val="0"/>
          <w:i w:val="0"/>
          <w:smallCaps w:val="0"/>
          <w:strike w:val="0"/>
          <w:sz w:val="22"/>
          <w:u w:val="single"/>
        </w:rPr>
        <w:t>stated that board review</w:t>
      </w:r>
      <w:r>
        <w:rPr>
          <w:b w:val="0"/>
          <w:i w:val="0"/>
          <w:smallCaps w:val="0"/>
          <w:strike w:val="0"/>
          <w:sz w:val="16"/>
          <w:u w:val="none"/>
        </w:rPr>
        <w:t xml:space="preserve"> “</w:t>
      </w:r>
      <w:r>
        <w:rPr>
          <w:b w:val="0"/>
          <w:i w:val="0"/>
          <w:smallCaps w:val="0"/>
          <w:strike w:val="0"/>
          <w:sz w:val="22"/>
          <w:u w:val="single"/>
        </w:rPr>
        <w:t xml:space="preserve">is not fair… The </w:t>
      </w:r>
      <w:r>
        <w:rPr>
          <w:b w:val="0"/>
          <w:i w:val="0"/>
          <w:smallCaps w:val="0"/>
          <w:strike w:val="0"/>
          <w:sz w:val="22"/>
          <w:highlight w:val="cyan"/>
          <w:u w:val="single"/>
        </w:rPr>
        <w:t>PTO doesn’t presume what it does is right</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