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Small </w:t>
      </w:r>
      <w:r>
        <w:rPr>
          <w:b/>
          <w:i w:val="0"/>
          <w:smallCaps w:val="0"/>
          <w:strike w:val="0"/>
          <w:sz w:val="24"/>
          <w:u w:val="single"/>
        </w:rPr>
        <w:t>farms</w:t>
      </w:r>
      <w:r>
        <w:rPr>
          <w:b/>
          <w:i w:val="0"/>
          <w:smallCaps w:val="0"/>
          <w:strike w:val="0"/>
          <w:sz w:val="24"/>
          <w:u w:val="none"/>
        </w:rPr>
        <w:t xml:space="preserve"> are on the </w:t>
      </w:r>
      <w:r>
        <w:rPr>
          <w:b/>
          <w:i w:val="0"/>
          <w:smallCaps w:val="0"/>
          <w:strike w:val="0"/>
          <w:sz w:val="24"/>
          <w:u w:val="single"/>
        </w:rPr>
        <w:t>rise</w:t>
      </w:r>
      <w:r>
        <w:rPr>
          <w:b/>
          <w:i w:val="0"/>
          <w:smallCaps w:val="0"/>
          <w:strike w:val="0"/>
          <w:sz w:val="24"/>
          <w:u w:val="none"/>
        </w:rPr>
        <w:t>.</w:t>
      </w:r>
    </w:p>
    <w:p>
      <w:pPr>
        <w:spacing w:after="80"/>
      </w:pPr>
      <w:r>
        <w:rPr>
          <w:b w:val="0"/>
          <w:i w:val="0"/>
          <w:smallCaps w:val="0"/>
          <w:strike w:val="0"/>
          <w:sz w:val="16"/>
          <w:u w:val="none"/>
        </w:rPr>
        <w:t>Chuck</w:t>
      </w:r>
      <w:r>
        <w:rPr>
          <w:b/>
          <w:i w:val="0"/>
          <w:smallCaps w:val="0"/>
          <w:strike w:val="0"/>
          <w:sz w:val="24"/>
          <w:u w:val="none"/>
        </w:rPr>
        <w:t xml:space="preserve"> Abbott 23</w:t>
      </w:r>
      <w:r>
        <w:rPr>
          <w:b w:val="0"/>
          <w:i w:val="0"/>
          <w:smallCaps w:val="0"/>
          <w:strike w:val="0"/>
          <w:sz w:val="16"/>
          <w:u w:val="none"/>
        </w:rPr>
        <w:t xml:space="preserve"> (Contributing Editor at Successful Farming, 12/1/23, “</w:t>
      </w:r>
      <w:r>
        <w:rPr>
          <w:b w:val="0"/>
          <w:i w:val="0"/>
          <w:smallCaps w:val="0"/>
          <w:strike w:val="0"/>
          <w:sz w:val="16"/>
          <w:u w:val="none"/>
        </w:rPr>
        <w:t>Farm income this year will be second-highest ever, says USDA</w:t>
      </w:r>
      <w:r>
        <w:rPr>
          <w:b w:val="0"/>
          <w:i w:val="0"/>
          <w:smallCaps w:val="0"/>
          <w:strike w:val="0"/>
          <w:sz w:val="16"/>
          <w:u w:val="none"/>
        </w:rPr>
        <w:t xml:space="preserve">,” </w:t>
      </w:r>
      <w:r>
        <w:rPr>
          <w:b w:val="0"/>
          <w:i w:val="0"/>
          <w:smallCaps w:val="0"/>
          <w:strike w:val="0"/>
          <w:sz w:val="16"/>
          <w:u w:val="none"/>
        </w:rPr>
        <w:t>https://www.agriculture.com/farm-income-this-year-will-be-second-highest-ever-says-usda-8409588</w:t>
      </w:r>
      <w:r>
        <w:rPr>
          <w:b w:val="0"/>
          <w:i w:val="0"/>
          <w:smallCaps w:val="0"/>
          <w:strike w:val="0"/>
          <w:sz w:val="16"/>
          <w:u w:val="none"/>
        </w:rPr>
        <w:t>, dhiya)</w:t>
      </w:r>
    </w:p>
    <w:p>
      <w:pPr>
        <w:spacing w:after="60"/>
      </w:pPr>
      <w:r>
        <w:rPr>
          <w:b w:val="0"/>
          <w:i w:val="0"/>
          <w:smallCaps w:val="0"/>
          <w:strike w:val="0"/>
          <w:sz w:val="20"/>
          <w:highlight w:val="cyan"/>
          <w:u w:val="single"/>
        </w:rPr>
        <w:t xml:space="preserve">U.S. net farm </w:t>
      </w:r>
      <w:r>
        <w:rPr>
          <w:b/>
          <w:i w:val="0"/>
          <w:smallCaps w:val="0"/>
          <w:strike w:val="0"/>
          <w:sz w:val="20"/>
          <w:highlight w:val="cyan"/>
          <w:u w:val="single"/>
        </w:rPr>
        <w:t>income</w:t>
      </w:r>
      <w:r>
        <w:rPr>
          <w:b w:val="0"/>
          <w:i w:val="0"/>
          <w:smallCaps w:val="0"/>
          <w:strike w:val="0"/>
          <w:sz w:val="20"/>
          <w:u w:val="single"/>
        </w:rPr>
        <w:t xml:space="preserve"> </w:t>
      </w:r>
      <w:r>
        <w:rPr>
          <w:b w:val="0"/>
          <w:i w:val="0"/>
          <w:smallCaps w:val="0"/>
          <w:strike w:val="0"/>
          <w:sz w:val="20"/>
          <w:highlight w:val="cyan"/>
          <w:u w:val="single"/>
        </w:rPr>
        <w:t xml:space="preserve">will be </w:t>
      </w:r>
      <w:r>
        <w:rPr>
          <w:b w:val="0"/>
          <w:i w:val="0"/>
          <w:smallCaps w:val="0"/>
          <w:strike w:val="0"/>
          <w:sz w:val="20"/>
          <w:u w:val="single"/>
        </w:rPr>
        <w:t>a</w:t>
      </w:r>
      <w:r>
        <w:rPr>
          <w:b w:val="0"/>
          <w:i w:val="0"/>
          <w:smallCaps w:val="0"/>
          <w:strike w:val="0"/>
          <w:sz w:val="20"/>
          <w:u w:val="single"/>
        </w:rPr>
        <w:t xml:space="preserve"> </w:t>
      </w:r>
      <w:r>
        <w:rPr>
          <w:b/>
          <w:i w:val="0"/>
          <w:smallCaps w:val="0"/>
          <w:strike w:val="0"/>
          <w:sz w:val="20"/>
          <w:highlight w:val="cyan"/>
          <w:u w:val="single"/>
        </w:rPr>
        <w:t>strong</w:t>
      </w:r>
      <w:r>
        <w:rPr>
          <w:b/>
          <w:i w:val="0"/>
          <w:smallCaps w:val="0"/>
          <w:strike w:val="0"/>
          <w:sz w:val="20"/>
          <w:u w:val="single"/>
        </w:rPr>
        <w:t>er</w:t>
      </w:r>
      <w:r>
        <w:rPr>
          <w:b w:val="0"/>
          <w:i w:val="0"/>
          <w:smallCaps w:val="0"/>
          <w:strike w:val="0"/>
          <w:sz w:val="20"/>
          <w:u w:val="single"/>
        </w:rPr>
        <w:t xml:space="preserve">-than-expected $151 billion </w:t>
      </w:r>
      <w:r>
        <w:rPr>
          <w:b/>
          <w:i w:val="0"/>
          <w:smallCaps w:val="0"/>
          <w:strike w:val="0"/>
          <w:sz w:val="20"/>
          <w:u w:val="single"/>
        </w:rPr>
        <w:t>this year</w:t>
      </w:r>
      <w:r>
        <w:rPr>
          <w:b w:val="0"/>
          <w:i w:val="0"/>
          <w:smallCaps w:val="0"/>
          <w:strike w:val="0"/>
          <w:sz w:val="16"/>
          <w:u w:val="none"/>
        </w:rPr>
        <w:t>, the second-highest total on record, estimated the Agriculture Department on Thursday. That’s roughly $10 billion higher than the August forecast and due chiefly to cost cutting by producers, aided by lower fertilizer, fuel, and feed prices.</w:t>
      </w:r>
    </w:p>
    <w:p>
      <w:pPr>
        <w:spacing w:after="60"/>
      </w:pPr>
      <w:r>
        <w:rPr>
          <w:b w:val="0"/>
          <w:i w:val="0"/>
          <w:smallCaps w:val="0"/>
          <w:strike w:val="0"/>
          <w:sz w:val="16"/>
          <w:u w:val="none"/>
        </w:rPr>
        <w:t>Although net farm income, a broad gauge of profitability, would be down sharply from the record $182.8 billion of 2022, it would be far above the 10-year average of $101.5 billion. “One of the best years on record for the overall farm sector,” said Agriculture Secretary Tom Vilsack.</w:t>
      </w:r>
    </w:p>
    <w:p>
      <w:pPr>
        <w:spacing w:after="60"/>
      </w:pPr>
      <w:r>
        <w:rPr>
          <w:b w:val="0"/>
          <w:i w:val="0"/>
          <w:smallCaps w:val="0"/>
          <w:strike w:val="0"/>
          <w:sz w:val="16"/>
          <w:u w:val="none"/>
        </w:rPr>
        <w:t xml:space="preserve">Although production expenses this year will be the highest ever, </w:t>
      </w:r>
      <w:r>
        <w:rPr>
          <w:b w:val="0"/>
          <w:i w:val="0"/>
          <w:smallCaps w:val="0"/>
          <w:strike w:val="0"/>
          <w:sz w:val="20"/>
          <w:u w:val="single"/>
        </w:rPr>
        <w:t>farmers and ranchers are spending</w:t>
      </w:r>
      <w:r>
        <w:rPr>
          <w:b w:val="0"/>
          <w:i w:val="0"/>
          <w:smallCaps w:val="0"/>
          <w:strike w:val="0"/>
          <w:sz w:val="16"/>
          <w:u w:val="none"/>
        </w:rPr>
        <w:t xml:space="preserve"> 3% — $14.6 billion — </w:t>
      </w:r>
      <w:r>
        <w:rPr>
          <w:b w:val="0"/>
          <w:i w:val="0"/>
          <w:smallCaps w:val="0"/>
          <w:strike w:val="0"/>
          <w:sz w:val="20"/>
          <w:u w:val="single"/>
        </w:rPr>
        <w:t>less</w:t>
      </w:r>
      <w:r>
        <w:rPr>
          <w:b w:val="0"/>
          <w:i w:val="0"/>
          <w:smallCaps w:val="0"/>
          <w:strike w:val="0"/>
          <w:sz w:val="16"/>
          <w:u w:val="none"/>
        </w:rPr>
        <w:t xml:space="preserve"> than forecast in August. The reduction more than offset a mild decline in crop and livestock revenue, </w:t>
      </w:r>
      <w:r>
        <w:rPr>
          <w:b w:val="0"/>
          <w:i w:val="0"/>
          <w:smallCaps w:val="0"/>
          <w:strike w:val="0"/>
          <w:sz w:val="20"/>
          <w:u w:val="single"/>
        </w:rPr>
        <w:t>leaving more money in the bank</w:t>
      </w:r>
      <w:r>
        <w:rPr>
          <w:b w:val="0"/>
          <w:i w:val="0"/>
          <w:smallCaps w:val="0"/>
          <w:strike w:val="0"/>
          <w:sz w:val="16"/>
          <w:u w:val="none"/>
        </w:rPr>
        <w:t xml:space="preserve"> and higher overall income.</w:t>
      </w:r>
    </w:p>
    <w:p>
      <w:pPr>
        <w:spacing w:after="60"/>
      </w:pPr>
      <w:r>
        <w:rPr>
          <w:b w:val="0"/>
          <w:i w:val="0"/>
          <w:smallCaps w:val="0"/>
          <w:strike w:val="0"/>
          <w:sz w:val="20"/>
          <w:highlight w:val="cyan"/>
          <w:u w:val="single"/>
        </w:rPr>
        <w:t xml:space="preserve">This is the </w:t>
      </w:r>
      <w:r>
        <w:rPr>
          <w:b/>
          <w:i w:val="0"/>
          <w:smallCaps w:val="0"/>
          <w:strike w:val="0"/>
          <w:sz w:val="20"/>
          <w:highlight w:val="cyan"/>
          <w:u w:val="single"/>
        </w:rPr>
        <w:t>third</w:t>
      </w:r>
      <w:r>
        <w:rPr>
          <w:b w:val="0"/>
          <w:i w:val="0"/>
          <w:smallCaps w:val="0"/>
          <w:strike w:val="0"/>
          <w:sz w:val="20"/>
          <w:highlight w:val="cyan"/>
          <w:u w:val="single"/>
        </w:rPr>
        <w:t xml:space="preserve"> year</w:t>
      </w:r>
      <w:r>
        <w:rPr>
          <w:b w:val="0"/>
          <w:i w:val="0"/>
          <w:smallCaps w:val="0"/>
          <w:strike w:val="0"/>
          <w:sz w:val="20"/>
          <w:u w:val="single"/>
        </w:rPr>
        <w:t xml:space="preserve"> </w:t>
      </w:r>
      <w:r>
        <w:rPr>
          <w:b w:val="0"/>
          <w:i w:val="0"/>
          <w:smallCaps w:val="0"/>
          <w:strike w:val="0"/>
          <w:sz w:val="20"/>
          <w:highlight w:val="cyan"/>
          <w:u w:val="single"/>
        </w:rPr>
        <w:t>in a row of extraordinarily</w:t>
      </w:r>
      <w:r>
        <w:rPr>
          <w:b w:val="0"/>
          <w:i w:val="0"/>
          <w:smallCaps w:val="0"/>
          <w:strike w:val="0"/>
          <w:sz w:val="20"/>
          <w:u w:val="single"/>
        </w:rPr>
        <w:t xml:space="preserve"> </w:t>
      </w:r>
      <w:r>
        <w:rPr>
          <w:b/>
          <w:i w:val="0"/>
          <w:smallCaps w:val="0"/>
          <w:strike w:val="0"/>
          <w:sz w:val="20"/>
          <w:highlight w:val="cyan"/>
          <w:u w:val="single"/>
        </w:rPr>
        <w:t>high</w:t>
      </w:r>
      <w:r>
        <w:rPr>
          <w:b w:val="0"/>
          <w:i w:val="0"/>
          <w:smallCaps w:val="0"/>
          <w:strike w:val="0"/>
          <w:sz w:val="20"/>
          <w:u w:val="single"/>
        </w:rPr>
        <w:t xml:space="preserve"> farm </w:t>
      </w:r>
      <w:r>
        <w:rPr>
          <w:b/>
          <w:i w:val="0"/>
          <w:smallCaps w:val="0"/>
          <w:strike w:val="0"/>
          <w:sz w:val="20"/>
          <w:highlight w:val="cyan"/>
          <w:u w:val="single"/>
        </w:rPr>
        <w:t>income</w:t>
      </w:r>
      <w:r>
        <w:rPr>
          <w:b w:val="0"/>
          <w:i w:val="0"/>
          <w:smallCaps w:val="0"/>
          <w:strike w:val="0"/>
          <w:sz w:val="16"/>
          <w:u w:val="none"/>
        </w:rPr>
        <w:t>, a factor in the debate over the elements of the new farm bill. Ag groups say ever-rising expenses justify an increase in subsidies as a shelter against the inevitable hard times in a cyclical industry where commodity prices are currently declining. The Biden administration opposes a potential raid on climate mitigation funding to pay for higher subsidies.</w:t>
      </w:r>
    </w:p>
    <w:p>
      <w:pPr>
        <w:spacing w:after="60"/>
      </w:pPr>
      <w:r>
        <w:rPr>
          <w:b w:val="0"/>
          <w:i w:val="0"/>
          <w:smallCaps w:val="0"/>
          <w:strike w:val="0"/>
          <w:sz w:val="20"/>
          <w:u w:val="single"/>
        </w:rPr>
        <w:t xml:space="preserve">Vilsack called for </w:t>
      </w:r>
      <w:r>
        <w:rPr>
          <w:b/>
          <w:i w:val="0"/>
          <w:smallCaps w:val="0"/>
          <w:strike w:val="0"/>
          <w:sz w:val="20"/>
          <w:highlight w:val="cyan"/>
          <w:u w:val="single"/>
        </w:rPr>
        <w:t>diversification</w:t>
      </w:r>
      <w:r>
        <w:rPr>
          <w:b w:val="0"/>
          <w:i w:val="0"/>
          <w:smallCaps w:val="0"/>
          <w:strike w:val="0"/>
          <w:sz w:val="20"/>
          <w:highlight w:val="cyan"/>
          <w:u w:val="single"/>
        </w:rPr>
        <w:t xml:space="preserve"> of farm </w:t>
      </w:r>
      <w:r>
        <w:rPr>
          <w:b/>
          <w:i w:val="0"/>
          <w:smallCaps w:val="0"/>
          <w:strike w:val="0"/>
          <w:sz w:val="20"/>
          <w:highlight w:val="cyan"/>
          <w:u w:val="single"/>
        </w:rPr>
        <w:t>income</w:t>
      </w:r>
      <w:r>
        <w:rPr>
          <w:b w:val="0"/>
          <w:i w:val="0"/>
          <w:smallCaps w:val="0"/>
          <w:strike w:val="0"/>
          <w:sz w:val="16"/>
          <w:u w:val="none"/>
        </w:rPr>
        <w:t xml:space="preserve"> during a speech at South Carolina State University. </w:t>
      </w:r>
      <w:r>
        <w:rPr>
          <w:b w:val="0"/>
          <w:i w:val="0"/>
          <w:smallCaps w:val="0"/>
          <w:strike w:val="0"/>
          <w:sz w:val="20"/>
          <w:u w:val="single"/>
        </w:rPr>
        <w:t>Climate mitigation</w:t>
      </w:r>
      <w:r>
        <w:rPr>
          <w:b w:val="0"/>
          <w:i w:val="0"/>
          <w:smallCaps w:val="0"/>
          <w:strike w:val="0"/>
          <w:sz w:val="16"/>
          <w:u w:val="none"/>
        </w:rPr>
        <w:t xml:space="preserve"> and climate-smart products </w:t>
      </w:r>
      <w:r>
        <w:rPr>
          <w:b w:val="0"/>
          <w:i w:val="0"/>
          <w:smallCaps w:val="0"/>
          <w:strike w:val="0"/>
          <w:sz w:val="20"/>
          <w:highlight w:val="cyan"/>
          <w:u w:val="single"/>
        </w:rPr>
        <w:t>could</w:t>
      </w:r>
      <w:r>
        <w:rPr>
          <w:b w:val="0"/>
          <w:i w:val="0"/>
          <w:smallCaps w:val="0"/>
          <w:strike w:val="0"/>
          <w:sz w:val="16"/>
          <w:highlight w:val="cyan"/>
          <w:u w:val="none"/>
        </w:rPr>
        <w:t xml:space="preserve"> </w:t>
      </w:r>
      <w:r>
        <w:rPr>
          <w:b w:val="0"/>
          <w:i w:val="0"/>
          <w:smallCaps w:val="0"/>
          <w:strike w:val="0"/>
          <w:sz w:val="20"/>
          <w:highlight w:val="cyan"/>
          <w:u w:val="single"/>
        </w:rPr>
        <w:t>be</w:t>
      </w:r>
      <w:r>
        <w:rPr>
          <w:b w:val="0"/>
          <w:i w:val="0"/>
          <w:smallCaps w:val="0"/>
          <w:strike w:val="0"/>
          <w:sz w:val="16"/>
          <w:u w:val="none"/>
        </w:rPr>
        <w:t xml:space="preserve"> two of several </w:t>
      </w:r>
      <w:r>
        <w:rPr>
          <w:b/>
          <w:i w:val="0"/>
          <w:smallCaps w:val="0"/>
          <w:strike w:val="0"/>
          <w:sz w:val="20"/>
          <w:u w:val="single"/>
        </w:rPr>
        <w:t xml:space="preserve">new </w:t>
      </w:r>
      <w:r>
        <w:rPr>
          <w:b/>
          <w:i w:val="0"/>
          <w:smallCaps w:val="0"/>
          <w:strike w:val="0"/>
          <w:sz w:val="20"/>
          <w:highlight w:val="cyan"/>
          <w:u w:val="single"/>
        </w:rPr>
        <w:t>sources</w:t>
      </w:r>
      <w:r>
        <w:rPr>
          <w:b w:val="0"/>
          <w:i w:val="0"/>
          <w:smallCaps w:val="0"/>
          <w:strike w:val="0"/>
          <w:sz w:val="20"/>
          <w:highlight w:val="cyan"/>
          <w:u w:val="single"/>
        </w:rPr>
        <w:t xml:space="preserve"> of </w:t>
      </w:r>
      <w:r>
        <w:rPr>
          <w:b/>
          <w:i w:val="0"/>
          <w:smallCaps w:val="0"/>
          <w:strike w:val="0"/>
          <w:sz w:val="20"/>
          <w:highlight w:val="cyan"/>
          <w:u w:val="single"/>
        </w:rPr>
        <w:t>revenue</w:t>
      </w:r>
      <w:r>
        <w:rPr>
          <w:b w:val="0"/>
          <w:i w:val="0"/>
          <w:smallCaps w:val="0"/>
          <w:strike w:val="0"/>
          <w:sz w:val="20"/>
          <w:u w:val="single"/>
        </w:rPr>
        <w:t xml:space="preserve"> </w:t>
      </w:r>
      <w:r>
        <w:rPr>
          <w:b w:val="0"/>
          <w:i w:val="0"/>
          <w:smallCaps w:val="0"/>
          <w:strike w:val="0"/>
          <w:sz w:val="20"/>
          <w:highlight w:val="cyan"/>
          <w:u w:val="single"/>
        </w:rPr>
        <w:t>for</w:t>
      </w:r>
      <w:r>
        <w:rPr>
          <w:b w:val="0"/>
          <w:i w:val="0"/>
          <w:smallCaps w:val="0"/>
          <w:strike w:val="0"/>
          <w:sz w:val="16"/>
          <w:u w:val="none"/>
        </w:rPr>
        <w:t xml:space="preserve"> </w:t>
      </w:r>
      <w:r>
        <w:rPr>
          <w:b/>
          <w:i w:val="0"/>
          <w:smallCaps w:val="0"/>
          <w:strike w:val="0"/>
          <w:sz w:val="20"/>
          <w:highlight w:val="cyan"/>
          <w:u w:val="single"/>
        </w:rPr>
        <w:t>small</w:t>
      </w:r>
      <w:r>
        <w:rPr>
          <w:b w:val="0"/>
          <w:i w:val="0"/>
          <w:smallCaps w:val="0"/>
          <w:strike w:val="0"/>
          <w:sz w:val="16"/>
          <w:u w:val="none"/>
        </w:rPr>
        <w:t xml:space="preserve"> and medium-sized </w:t>
      </w:r>
      <w:r>
        <w:rPr>
          <w:b/>
          <w:i w:val="0"/>
          <w:smallCaps w:val="0"/>
          <w:strike w:val="0"/>
          <w:sz w:val="20"/>
          <w:highlight w:val="cyan"/>
          <w:u w:val="single"/>
        </w:rPr>
        <w:t>operators</w:t>
      </w:r>
      <w:r>
        <w:rPr>
          <w:b w:val="0"/>
          <w:i w:val="0"/>
          <w:smallCaps w:val="0"/>
          <w:strike w:val="0"/>
          <w:sz w:val="16"/>
          <w:u w:val="none"/>
        </w:rPr>
        <w:t xml:space="preserve"> </w:t>
      </w:r>
      <w:r>
        <w:rPr>
          <w:b w:val="0"/>
          <w:i w:val="0"/>
          <w:smallCaps w:val="0"/>
          <w:strike w:val="0"/>
          <w:sz w:val="20"/>
          <w:u w:val="single"/>
        </w:rPr>
        <w:t xml:space="preserve">and an </w:t>
      </w:r>
      <w:r>
        <w:rPr>
          <w:b/>
          <w:i w:val="0"/>
          <w:smallCaps w:val="0"/>
          <w:strike w:val="0"/>
          <w:sz w:val="20"/>
          <w:u w:val="single"/>
        </w:rPr>
        <w:t>alternative</w:t>
      </w:r>
      <w:r>
        <w:rPr>
          <w:b w:val="0"/>
          <w:i w:val="0"/>
          <w:smallCaps w:val="0"/>
          <w:strike w:val="0"/>
          <w:sz w:val="20"/>
          <w:u w:val="single"/>
        </w:rPr>
        <w:t xml:space="preserve"> to the</w:t>
      </w:r>
      <w:r>
        <w:rPr>
          <w:b w:val="0"/>
          <w:i w:val="0"/>
          <w:smallCaps w:val="0"/>
          <w:strike w:val="0"/>
          <w:sz w:val="16"/>
          <w:u w:val="none"/>
        </w:rPr>
        <w:t xml:space="preserve"> “</w:t>
      </w:r>
      <w:r>
        <w:rPr>
          <w:b w:val="0"/>
          <w:i w:val="0"/>
          <w:smallCaps w:val="0"/>
          <w:strike w:val="0"/>
          <w:sz w:val="20"/>
          <w:u w:val="single"/>
        </w:rPr>
        <w:t>get big or get out</w:t>
      </w:r>
      <w:r>
        <w:rPr>
          <w:b w:val="0"/>
          <w:i w:val="0"/>
          <w:smallCaps w:val="0"/>
          <w:strike w:val="0"/>
          <w:sz w:val="16"/>
          <w:u w:val="none"/>
        </w:rPr>
        <w:t xml:space="preserve">” </w:t>
      </w:r>
      <w:r>
        <w:rPr>
          <w:b w:val="0"/>
          <w:i w:val="0"/>
          <w:smallCaps w:val="0"/>
          <w:strike w:val="0"/>
          <w:sz w:val="20"/>
          <w:u w:val="single"/>
        </w:rPr>
        <w:t>approach to farming</w:t>
      </w:r>
      <w:r>
        <w:rPr>
          <w:b w:val="0"/>
          <w:i w:val="0"/>
          <w:smallCaps w:val="0"/>
          <w:strike w:val="0"/>
          <w:sz w:val="16"/>
          <w:u w:val="none"/>
        </w:rPr>
        <w:t>.</w:t>
      </w:r>
    </w:p>
    <w:p>
      <w:pPr>
        <w:spacing w:after="60"/>
      </w:pPr>
      <w:r>
        <w:rPr>
          <w:b w:val="0"/>
          <w:i w:val="0"/>
          <w:smallCaps w:val="0"/>
          <w:strike w:val="0"/>
          <w:sz w:val="16"/>
          <w:u w:val="none"/>
        </w:rPr>
        <w:t>“That’s why it’s important to have a farm bill that supports programs like these,” said Vilsack, so lawmakers should leave alone the $20 billion that was allocated in 2022 for the USDA’s land stewardship programs with a priority on climate mitigation and adaptation.</w:t>
      </w:r>
    </w:p>
    <w:p>
      <w:pPr>
        <w:spacing w:after="60"/>
      </w:pPr>
      <w:r>
        <w:rPr>
          <w:b w:val="0"/>
          <w:i w:val="0"/>
          <w:smallCaps w:val="0"/>
          <w:strike w:val="0"/>
          <w:sz w:val="16"/>
          <w:u w:val="none"/>
        </w:rPr>
        <w:t>In its new farm income forecast, the USDA said lower prices would trim farmer spending on fertilizer by 14 percent this year compared to 2022. Pesticides, fuel, and feed would also cost less. On the other hand, higher interest rates would cost producers an additional $10.3 billion this year. “This reflects expectations that both total debt levels and interest rates will rise in 2023,” said the report.</w:t>
      </w:r>
    </w:p>
    <w:p>
      <w:pPr>
        <w:spacing w:after="60"/>
      </w:pPr>
      <w:r>
        <w:rPr>
          <w:b w:val="0"/>
          <w:i w:val="0"/>
          <w:smallCaps w:val="0"/>
          <w:strike w:val="0"/>
          <w:sz w:val="16"/>
          <w:u w:val="none"/>
        </w:rPr>
        <w:t>Lower market prices are driving down crop and livestock revenue this year. Receipts for corn, soybeans, and cotton, three of the most widely planted crops, were forecast to fall by a combined $14.4 billion. Milk, hog, broiler chicken, and egg revenues would also fall. Cattle receipts, however, would rise by $14.3 billion. “Rising prices are expected to drive receipts for fruit and vegetables $1.2 billion (4.7%) higher during the year,” said the USDA.</w:t>
      </w:r>
    </w:p>
    <w:p>
      <w:pPr>
        <w:spacing w:after="60"/>
      </w:pPr>
      <w:r>
        <w:rPr>
          <w:b w:val="0"/>
          <w:i w:val="0"/>
          <w:smallCaps w:val="0"/>
          <w:strike w:val="0"/>
          <w:sz w:val="16"/>
          <w:u w:val="none"/>
        </w:rPr>
        <w:t>Thanks to strong farmland prices, the value of farm real estate would increase 7.7% this year, outpacing the rise in debt. Land is 80% of farm assets. The debt-to-asset ratio, a commonly used measurement of the financial health of the farm sector, was forecast to fall to 12.73% this year, down from 12.93% in 2022 and the lowest ratio since 2016.</w:t>
      </w:r>
    </w:p>
    <w:p>
      <w:pPr>
        <w:spacing w:after="60"/>
      </w:pPr>
      <w:r>
        <w:rPr>
          <w:b w:val="0"/>
          <w:i w:val="0"/>
          <w:smallCaps w:val="0"/>
          <w:strike w:val="0"/>
          <w:sz w:val="20"/>
          <w:highlight w:val="cyan"/>
          <w:u w:val="single"/>
        </w:rPr>
        <w:t>Median</w:t>
      </w:r>
      <w:r>
        <w:rPr>
          <w:b w:val="0"/>
          <w:i w:val="0"/>
          <w:smallCaps w:val="0"/>
          <w:strike w:val="0"/>
          <w:sz w:val="20"/>
          <w:u w:val="single"/>
        </w:rPr>
        <w:t xml:space="preserve"> farm </w:t>
      </w:r>
      <w:r>
        <w:rPr>
          <w:b w:val="0"/>
          <w:i w:val="0"/>
          <w:smallCaps w:val="0"/>
          <w:strike w:val="0"/>
          <w:sz w:val="20"/>
          <w:highlight w:val="cyan"/>
          <w:u w:val="single"/>
        </w:rPr>
        <w:t>household income</w:t>
      </w:r>
      <w:r>
        <w:rPr>
          <w:b w:val="0"/>
          <w:i w:val="0"/>
          <w:smallCaps w:val="0"/>
          <w:strike w:val="0"/>
          <w:sz w:val="20"/>
          <w:u w:val="single"/>
        </w:rPr>
        <w:t xml:space="preserve"> </w:t>
      </w:r>
      <w:r>
        <w:rPr>
          <w:b w:val="0"/>
          <w:i w:val="0"/>
          <w:smallCaps w:val="0"/>
          <w:strike w:val="0"/>
          <w:sz w:val="20"/>
          <w:highlight w:val="cyan"/>
          <w:u w:val="single"/>
        </w:rPr>
        <w:t>was</w:t>
      </w:r>
      <w:r>
        <w:rPr>
          <w:b w:val="0"/>
          <w:i w:val="0"/>
          <w:smallCaps w:val="0"/>
          <w:strike w:val="0"/>
          <w:sz w:val="20"/>
          <w:u w:val="single"/>
        </w:rPr>
        <w:t xml:space="preserve"> forecast at $99,802 this year</w:t>
      </w:r>
      <w:r>
        <w:rPr>
          <w:b w:val="0"/>
          <w:i w:val="0"/>
          <w:smallCaps w:val="0"/>
          <w:strike w:val="0"/>
          <w:sz w:val="16"/>
          <w:u w:val="none"/>
        </w:rPr>
        <w:t xml:space="preserve">, </w:t>
      </w:r>
      <w:r>
        <w:rPr>
          <w:b/>
          <w:i w:val="0"/>
          <w:smallCaps w:val="0"/>
          <w:strike w:val="0"/>
          <w:sz w:val="20"/>
          <w:highlight w:val="cyan"/>
          <w:u w:val="single"/>
        </w:rPr>
        <w:t>up</w:t>
      </w:r>
      <w:r>
        <w:rPr>
          <w:b w:val="0"/>
          <w:i w:val="0"/>
          <w:smallCaps w:val="0"/>
          <w:strike w:val="0"/>
          <w:sz w:val="16"/>
          <w:u w:val="none"/>
        </w:rPr>
        <w:t xml:space="preserve"> 4.6% </w:t>
      </w:r>
      <w:r>
        <w:rPr>
          <w:b w:val="0"/>
          <w:i w:val="0"/>
          <w:smallCaps w:val="0"/>
          <w:strike w:val="0"/>
          <w:sz w:val="20"/>
          <w:highlight w:val="cyan"/>
          <w:u w:val="single"/>
        </w:rPr>
        <w:t xml:space="preserve">from </w:t>
      </w:r>
      <w:r>
        <w:rPr>
          <w:b/>
          <w:i w:val="0"/>
          <w:smallCaps w:val="0"/>
          <w:strike w:val="0"/>
          <w:sz w:val="20"/>
          <w:highlight w:val="cyan"/>
          <w:u w:val="single"/>
        </w:rPr>
        <w:t>last year</w:t>
      </w:r>
      <w:r>
        <w:rPr>
          <w:b w:val="0"/>
          <w:i w:val="0"/>
          <w:smallCaps w:val="0"/>
          <w:strike w:val="0"/>
          <w:sz w:val="16"/>
          <w:u w:val="none"/>
        </w:rPr>
        <w:t xml:space="preserve">. </w:t>
      </w:r>
      <w:r>
        <w:rPr>
          <w:b w:val="0"/>
          <w:i w:val="0"/>
          <w:smallCaps w:val="0"/>
          <w:strike w:val="0"/>
          <w:sz w:val="20"/>
          <w:u w:val="single"/>
        </w:rPr>
        <w:t>There are</w:t>
      </w:r>
      <w:r>
        <w:rPr>
          <w:b w:val="0"/>
          <w:i w:val="0"/>
          <w:smallCaps w:val="0"/>
          <w:strike w:val="0"/>
          <w:sz w:val="16"/>
          <w:u w:val="none"/>
        </w:rPr>
        <w:t xml:space="preserve"> roughly </w:t>
      </w:r>
      <w:r>
        <w:rPr>
          <w:b/>
          <w:i w:val="0"/>
          <w:smallCaps w:val="0"/>
          <w:strike w:val="0"/>
          <w:sz w:val="20"/>
          <w:highlight w:val="cyan"/>
          <w:u w:val="single"/>
        </w:rPr>
        <w:t>2 million</w:t>
      </w:r>
      <w:r>
        <w:rPr>
          <w:b w:val="0"/>
          <w:i w:val="0"/>
          <w:smallCaps w:val="0"/>
          <w:strike w:val="0"/>
          <w:sz w:val="20"/>
          <w:highlight w:val="cyan"/>
          <w:u w:val="single"/>
        </w:rPr>
        <w:t xml:space="preserve"> farms in</w:t>
      </w:r>
      <w:r>
        <w:rPr>
          <w:b w:val="0"/>
          <w:i w:val="0"/>
          <w:smallCaps w:val="0"/>
          <w:strike w:val="0"/>
          <w:sz w:val="20"/>
          <w:u w:val="single"/>
        </w:rPr>
        <w:t xml:space="preserve"> </w:t>
      </w:r>
      <w:r>
        <w:rPr>
          <w:b w:val="0"/>
          <w:i w:val="0"/>
          <w:smallCaps w:val="0"/>
          <w:strike w:val="0"/>
          <w:sz w:val="20"/>
          <w:highlight w:val="cyan"/>
          <w:u w:val="single"/>
        </w:rPr>
        <w:t>the country</w:t>
      </w:r>
      <w:r>
        <w:rPr>
          <w:b w:val="0"/>
          <w:i w:val="0"/>
          <w:smallCaps w:val="0"/>
          <w:strike w:val="0"/>
          <w:sz w:val="20"/>
          <w:u w:val="single"/>
        </w:rPr>
        <w:t xml:space="preserve">, </w:t>
      </w:r>
      <w:r>
        <w:rPr>
          <w:b w:val="0"/>
          <w:i w:val="0"/>
          <w:smallCaps w:val="0"/>
          <w:strike w:val="0"/>
          <w:sz w:val="20"/>
          <w:highlight w:val="cyan"/>
          <w:u w:val="single"/>
        </w:rPr>
        <w:t>many</w:t>
      </w:r>
      <w:r>
        <w:rPr>
          <w:b w:val="0"/>
          <w:i w:val="0"/>
          <w:smallCaps w:val="0"/>
          <w:strike w:val="0"/>
          <w:sz w:val="20"/>
          <w:u w:val="single"/>
        </w:rPr>
        <w:t xml:space="preserve"> of them relatively </w:t>
      </w:r>
      <w:r>
        <w:rPr>
          <w:b/>
          <w:i w:val="0"/>
          <w:smallCaps w:val="0"/>
          <w:strike w:val="0"/>
          <w:sz w:val="20"/>
          <w:highlight w:val="cyan"/>
          <w:u w:val="single"/>
        </w:rPr>
        <w:t>small</w:t>
      </w:r>
      <w:r>
        <w:rPr>
          <w:b w:val="0"/>
          <w:i w:val="0"/>
          <w:smallCaps w:val="0"/>
          <w:strike w:val="0"/>
          <w:sz w:val="16"/>
          <w:u w:val="none"/>
        </w:rPr>
        <w:t xml:space="preserve">. “Many farm households primarily rely on off-farm income,” said the USDA. The Census Bureau estimated </w:t>
      </w:r>
      <w:r>
        <w:rPr>
          <w:b w:val="0"/>
          <w:i w:val="0"/>
          <w:smallCaps w:val="0"/>
          <w:strike w:val="0"/>
          <w:sz w:val="20"/>
          <w:u w:val="single"/>
        </w:rPr>
        <w:t>median household</w:t>
      </w:r>
      <w:r>
        <w:rPr>
          <w:b w:val="0"/>
          <w:i w:val="0"/>
          <w:smallCaps w:val="0"/>
          <w:strike w:val="0"/>
          <w:sz w:val="16"/>
          <w:u w:val="none"/>
        </w:rPr>
        <w:t xml:space="preserve"> </w:t>
      </w:r>
      <w:r>
        <w:rPr>
          <w:b w:val="0"/>
          <w:i w:val="0"/>
          <w:smallCaps w:val="0"/>
          <w:strike w:val="0"/>
          <w:sz w:val="20"/>
          <w:u w:val="single"/>
        </w:rPr>
        <w:t>income nationwide at $74,580 this year</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