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4"/>
          <w:u w:val="none"/>
        </w:rPr>
        <w:t xml:space="preserve">Adoption is </w:t>
      </w:r>
      <w:r>
        <w:rPr>
          <w:b/>
          <w:i w:val="0"/>
          <w:smallCaps w:val="0"/>
          <w:strike w:val="0"/>
          <w:sz w:val="24"/>
          <w:u w:val="single"/>
        </w:rPr>
        <w:t>slow</w:t>
      </w:r>
      <w:r>
        <w:rPr>
          <w:b/>
          <w:i w:val="0"/>
          <w:smallCaps w:val="0"/>
          <w:strike w:val="0"/>
          <w:sz w:val="24"/>
          <w:u w:val="none"/>
        </w:rPr>
        <w:t xml:space="preserve"> and extremely </w:t>
      </w:r>
      <w:r>
        <w:rPr>
          <w:b/>
          <w:i w:val="0"/>
          <w:smallCaps w:val="0"/>
          <w:strike w:val="0"/>
          <w:sz w:val="24"/>
          <w:u w:val="single"/>
        </w:rPr>
        <w:t>unprofitable</w:t>
      </w:r>
      <w:r>
        <w:rPr>
          <w:b/>
          <w:i w:val="0"/>
          <w:smallCaps w:val="0"/>
          <w:strike w:val="0"/>
          <w:sz w:val="24"/>
          <w:u w:val="none"/>
        </w:rPr>
        <w:t>.</w:t>
      </w:r>
    </w:p>
    <w:p>
      <w:pPr>
        <w:spacing w:after="80"/>
      </w:pPr>
      <w:r>
        <w:rPr>
          <w:b w:val="0"/>
          <w:i w:val="0"/>
          <w:smallCaps w:val="0"/>
          <w:strike w:val="0"/>
          <w:sz w:val="16"/>
          <w:u w:val="none"/>
        </w:rPr>
        <w:t xml:space="preserve">Johannes </w:t>
      </w:r>
      <w:r>
        <w:rPr>
          <w:b/>
          <w:i w:val="0"/>
          <w:smallCaps w:val="0"/>
          <w:strike w:val="0"/>
          <w:sz w:val="24"/>
          <w:u w:val="none"/>
        </w:rPr>
        <w:t>Munz 24</w:t>
      </w:r>
      <w:r>
        <w:rPr>
          <w:b w:val="0"/>
          <w:i w:val="0"/>
          <w:smallCaps w:val="0"/>
          <w:strike w:val="0"/>
          <w:sz w:val="16"/>
          <w:u w:val="none"/>
        </w:rPr>
        <w:t>. Institute of Applied Agricultural Research, Hochschule für Wirtschaft und Umwelt Nürtingen-Geislingen. “What if precision agriculture is not profitable?: A comprehensive analysis of the right timing for exiting, taking into account different entry options.” 02-17-24. Precision Agriculture, Vol. 25, Iss. 3. gautam</w:t>
      </w:r>
    </w:p>
    <w:p>
      <w:pPr>
        <w:spacing w:after="60"/>
      </w:pPr>
      <w:r>
        <w:rPr>
          <w:b w:val="0"/>
          <w:i w:val="0"/>
          <w:smallCaps w:val="0"/>
          <w:strike w:val="0"/>
          <w:sz w:val="20"/>
          <w:u w:val="single"/>
        </w:rPr>
        <w:t xml:space="preserve">Researchers have puzzled over the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slow adoption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 xml:space="preserve"> of precision ag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riculture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 xml:space="preserve">by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small-scale farmers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By recording the decision paths such farmers have to make along the implementation process of deploying for the first time site-specific fertilization, it was possible to show, using a prototypical small farm model, that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farms with outdated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, non-retrofittable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tech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nology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are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effectively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excluded from digitization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 xml:space="preserve">, as it will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never be profitable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over the lifetime of the precision technology. </w:t>
      </w:r>
      <w:r>
        <w:rPr>
          <w:b w:val="0"/>
          <w:i w:val="0"/>
          <w:smallCaps w:val="0"/>
          <w:strike w:val="0"/>
          <w:sz w:val="20"/>
          <w:u w:val="single"/>
        </w:rPr>
        <w:t>This results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primarily </w:t>
      </w:r>
      <w:r>
        <w:rPr>
          <w:b w:val="0"/>
          <w:i w:val="0"/>
          <w:smallCaps w:val="0"/>
          <w:strike w:val="0"/>
          <w:sz w:val="20"/>
          <w:u w:val="single"/>
        </w:rPr>
        <w:t>from the high financial outlay for new equipment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and far less from the working time required for implementation. 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Furthermore, 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it became evident that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 xml:space="preserve">even when retrofittable mechanization is available, the investment is at the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limit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 xml:space="preserve"> of a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profitable use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at the current costs and the model farm size</w:t>
      </w:r>
      <w:r>
        <w:rPr>
          <w:b w:val="0"/>
          <w:i w:val="0"/>
          <w:smallCaps w:val="0"/>
          <w:strike w:val="0"/>
          <w:sz w:val="20"/>
          <w:u w:val="single"/>
        </w:rPr>
        <w:t>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If a farm already uses digital technology that can be used for precision agricultural management at modest cost, or if a farm contracts out the site-specific fertilization program, then a positive linear effect in the operational result can be observed, delivering from 151.33 to 192.17 € ha−1 of accumulated added revenue at the end of useful technology life.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Most importantly, it was shown that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 xml:space="preserve">under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uncertainty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 xml:space="preserve">,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inefficiency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of site-specific fertilization, and non-linear behavior in the aggregated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overall 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return of an investment,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 xml:space="preserve">it is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difficult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 xml:space="preserve"> for any farm to find the right time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to exit from unprofitable use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of the technology. </w:t>
      </w:r>
      <w:r>
        <w:rPr>
          <w:b w:val="0"/>
          <w:i w:val="0"/>
          <w:smallCaps w:val="0"/>
          <w:strike w:val="0"/>
          <w:sz w:val="20"/>
          <w:u w:val="single"/>
        </w:rPr>
        <w:t>Decisions on the termination of unprofitable technology use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(after introduction) </w:t>
      </w:r>
      <w:r>
        <w:rPr>
          <w:b w:val="0"/>
          <w:i w:val="0"/>
          <w:smallCaps w:val="0"/>
          <w:strike w:val="0"/>
          <w:sz w:val="20"/>
          <w:u w:val="single"/>
        </w:rPr>
        <w:t>cannot be made according to rational criteria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 the first two years. However, an immediate decision would be necessary, e.g. in M1, which puts farmers in a predicament. They are 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faced with the dilemma of either </w:t>
      </w:r>
      <w:r>
        <w:rPr>
          <w:b/>
          <w:i w:val="0"/>
          <w:smallCaps w:val="0"/>
          <w:strike w:val="0"/>
          <w:sz w:val="20"/>
          <w:u w:val="single"/>
        </w:rPr>
        <w:t>exiting too late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(on the basis of rational considerations) 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or </w:t>
      </w:r>
      <w:r>
        <w:rPr>
          <w:b/>
          <w:i w:val="0"/>
          <w:smallCaps w:val="0"/>
          <w:strike w:val="0"/>
          <w:sz w:val="20"/>
          <w:u w:val="single"/>
        </w:rPr>
        <w:t>exiting too hastily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and relying on their intuition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This means the initial decision—before investing— for or against the technology has the greatest impact on operational results. 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It has been speculated that 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the overall low adoption rates of precision agriculture technology by small-scale farms can be explained by the </w:t>
      </w:r>
      <w:r>
        <w:rPr>
          <w:b/>
          <w:i w:val="0"/>
          <w:smallCaps w:val="0"/>
          <w:strike w:val="0"/>
          <w:sz w:val="20"/>
          <w:u w:val="single"/>
        </w:rPr>
        <w:t>increased complexity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of </w:t>
      </w:r>
      <w:r>
        <w:rPr>
          <w:b/>
          <w:i w:val="0"/>
          <w:smallCaps w:val="0"/>
          <w:strike w:val="0"/>
          <w:sz w:val="20"/>
          <w:u w:val="single"/>
        </w:rPr>
        <w:t>entry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and use compared to existing outdated mechanization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Yet this analysis herein shows a more fundamental reason. 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Farmers using traditional equipment may be reluctant because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 xml:space="preserve">they recognize the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unlikelihood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 xml:space="preserve"> of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recovering</w:t>
      </w:r>
      <w:r>
        <w:rPr>
          <w:b/>
          <w:i w:val="0"/>
          <w:smallCaps w:val="0"/>
          <w:strike w:val="0"/>
          <w:sz w:val="20"/>
          <w:u w:val="single"/>
        </w:rPr>
        <w:t xml:space="preserve"> the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costs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of digitization. In any case, the scenario of acquisition and non-adoption described in the literature can now be understood from an economic point of view. </w:t>
      </w:r>
    </w:p>
    <w:p>
      <w:pPr>
        <w:pStyle w:val="Caption"/>
      </w:pPr>
      <w:r>
        <w:t>Source: Innovation Bad - AI Ag - Michigan 2024 BFHR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