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w:t>
      </w:r>
      <w:r>
        <w:rPr>
          <w:b/>
          <w:i w:val="0"/>
          <w:smallCaps w:val="0"/>
          <w:strike w:val="0"/>
          <w:sz w:val="26"/>
          <w:u w:val="single"/>
        </w:rPr>
        <w:t>assimilate</w:t>
      </w:r>
      <w:r>
        <w:rPr>
          <w:b/>
          <w:i w:val="0"/>
          <w:smallCaps w:val="0"/>
          <w:strike w:val="0"/>
          <w:sz w:val="26"/>
          <w:u w:val="none"/>
        </w:rPr>
        <w:t xml:space="preserve"> cultural </w:t>
      </w:r>
      <w:r>
        <w:rPr>
          <w:b/>
          <w:i w:val="0"/>
          <w:smallCaps w:val="0"/>
          <w:strike w:val="0"/>
          <w:sz w:val="26"/>
          <w:u w:val="single"/>
        </w:rPr>
        <w:t>knowledge</w:t>
      </w:r>
      <w:r>
        <w:rPr>
          <w:b/>
          <w:i w:val="0"/>
          <w:smallCaps w:val="0"/>
          <w:strike w:val="0"/>
          <w:sz w:val="26"/>
          <w:u w:val="none"/>
        </w:rPr>
        <w:t xml:space="preserve"> through </w:t>
      </w:r>
      <w:r>
        <w:rPr>
          <w:b/>
          <w:i w:val="0"/>
          <w:smallCaps w:val="0"/>
          <w:strike w:val="0"/>
          <w:sz w:val="26"/>
          <w:u w:val="single"/>
        </w:rPr>
        <w:t>eurocentrism</w:t>
      </w:r>
      <w:r>
        <w:rPr>
          <w:b/>
          <w:i w:val="0"/>
          <w:smallCaps w:val="0"/>
          <w:strike w:val="0"/>
          <w:sz w:val="26"/>
          <w:u w:val="none"/>
        </w:rPr>
        <w:t xml:space="preserve"> under the </w:t>
      </w:r>
      <w:r>
        <w:rPr>
          <w:b/>
          <w:i w:val="0"/>
          <w:smallCaps w:val="0"/>
          <w:strike w:val="0"/>
          <w:sz w:val="26"/>
          <w:u w:val="single"/>
        </w:rPr>
        <w:t>guise</w:t>
      </w:r>
      <w:r>
        <w:rPr>
          <w:b/>
          <w:i w:val="0"/>
          <w:smallCaps w:val="0"/>
          <w:strike w:val="0"/>
          <w:sz w:val="26"/>
          <w:u w:val="none"/>
        </w:rPr>
        <w:t xml:space="preserve"> of the “</w:t>
      </w:r>
      <w:r>
        <w:rPr>
          <w:b/>
          <w:i w:val="0"/>
          <w:smallCaps w:val="0"/>
          <w:strike w:val="0"/>
          <w:sz w:val="26"/>
          <w:u w:val="single"/>
        </w:rPr>
        <w:t>public domain</w:t>
      </w:r>
      <w:r>
        <w:rPr>
          <w:b/>
          <w:i w:val="0"/>
          <w:smallCaps w:val="0"/>
          <w:strike w:val="0"/>
          <w:sz w:val="26"/>
          <w:u w:val="none"/>
        </w:rPr>
        <w:t xml:space="preserve">”. </w:t>
      </w:r>
    </w:p>
    <w:p>
      <w:pPr>
        <w:spacing w:after="80"/>
      </w:pPr>
      <w:r>
        <w:rPr>
          <w:b/>
          <w:i w:val="0"/>
          <w:smallCaps w:val="0"/>
          <w:strike w:val="0"/>
          <w:sz w:val="26"/>
          <w:u w:val="none"/>
        </w:rPr>
        <w:t>Mgbeoji et al.</w:t>
      </w:r>
      <w:r>
        <w:rPr>
          <w:b/>
          <w:i w:val="0"/>
          <w:smallCaps w:val="0"/>
          <w:strike w:val="0"/>
          <w:sz w:val="26"/>
          <w:u w:val="none"/>
        </w:rPr>
        <w:t xml:space="preserve"> ’</w:t>
      </w:r>
      <w:r>
        <w:rPr>
          <w:b/>
          <w:i w:val="0"/>
          <w:smallCaps w:val="0"/>
          <w:strike w:val="0"/>
          <w:sz w:val="26"/>
          <w:u w:val="none"/>
        </w:rPr>
        <w:t>10</w:t>
      </w:r>
      <w:r>
        <w:rPr>
          <w:b w:val="0"/>
          <w:i w:val="0"/>
          <w:smallCaps w:val="0"/>
          <w:strike w:val="0"/>
          <w:u w:val="none"/>
        </w:rPr>
        <w:t xml:space="preserve"> [Ikechi; October; Claire Chun is a Ph.D. candidate in the Department of Ethnic Studies (with a Designated Emphasis in Women, Gender and Sexuality Studies). She received her B.A. in Politics and Social and Cultural Analysis from New York University. Her research explores how modern conceptualizations of “Korean” and “Asian” beauty, wellness, and aesthetics are shaped by overlapping forces of US militarism, tourism, and humanitarianism, “Making Space for Grandma: The Emancipation of Traditional Knowledge and the Dominance of Western‐Style Intellectual Property Rights Regimes,” vol. 6 no. 9] /vishwa</w:t>
      </w:r>
    </w:p>
    <w:p>
      <w:pPr>
        <w:spacing w:after="60"/>
      </w:pPr>
      <w:r>
        <w:rPr>
          <w:b w:val="0"/>
          <w:i w:val="0"/>
          <w:smallCaps w:val="0"/>
          <w:strike w:val="0"/>
          <w:sz w:val="16"/>
          <w:u w:val="none"/>
        </w:rPr>
        <w:t xml:space="preserve">Further, just like the </w:t>
      </w:r>
      <w:r>
        <w:rPr>
          <w:b/>
          <w:i w:val="0"/>
          <w:smallCaps w:val="0"/>
          <w:strike w:val="0"/>
          <w:sz w:val="22"/>
          <w:u w:val="single"/>
        </w:rPr>
        <w:t>modern</w:t>
      </w:r>
      <w:r>
        <w:rPr>
          <w:b w:val="0"/>
          <w:i w:val="0"/>
          <w:smallCaps w:val="0"/>
          <w:strike w:val="0"/>
          <w:sz w:val="22"/>
          <w:u w:val="single"/>
        </w:rPr>
        <w:t xml:space="preserve"> patent </w:t>
      </w:r>
      <w:r>
        <w:rPr>
          <w:b/>
          <w:i w:val="0"/>
          <w:smallCaps w:val="0"/>
          <w:strike w:val="0"/>
          <w:sz w:val="22"/>
          <w:highlight w:val="green"/>
          <w:u w:val="single"/>
        </w:rPr>
        <w:t>law</w:t>
      </w:r>
      <w:r>
        <w:rPr>
          <w:b w:val="0"/>
          <w:i w:val="0"/>
          <w:smallCaps w:val="0"/>
          <w:strike w:val="0"/>
          <w:sz w:val="22"/>
          <w:highlight w:val="green"/>
          <w:u w:val="single"/>
        </w:rPr>
        <w:t xml:space="preserve"> created</w:t>
      </w:r>
      <w:r>
        <w:rPr>
          <w:b w:val="0"/>
          <w:i w:val="0"/>
          <w:smallCaps w:val="0"/>
          <w:strike w:val="0"/>
          <w:sz w:val="22"/>
          <w:u w:val="single"/>
        </w:rPr>
        <w:t xml:space="preserve"> the </w:t>
      </w:r>
      <w:r>
        <w:rPr>
          <w:b/>
          <w:i w:val="0"/>
          <w:smallCaps w:val="0"/>
          <w:strike w:val="0"/>
          <w:sz w:val="22"/>
          <w:highlight w:val="green"/>
          <w:u w:val="single"/>
        </w:rPr>
        <w:t>fiction</w:t>
      </w:r>
      <w:r>
        <w:rPr>
          <w:b w:val="0"/>
          <w:i w:val="0"/>
          <w:smallCaps w:val="0"/>
          <w:strike w:val="0"/>
          <w:sz w:val="22"/>
          <w:highlight w:val="green"/>
          <w:u w:val="single"/>
        </w:rPr>
        <w:t xml:space="preserve"> of </w:t>
      </w:r>
      <w:r>
        <w:rPr>
          <w:b/>
          <w:i w:val="0"/>
          <w:smallCaps w:val="0"/>
          <w:strike w:val="0"/>
          <w:sz w:val="22"/>
          <w:highlight w:val="green"/>
          <w:u w:val="single"/>
        </w:rPr>
        <w:t>corporate</w:t>
      </w:r>
      <w:r>
        <w:rPr>
          <w:b w:val="0"/>
          <w:i w:val="0"/>
          <w:smallCaps w:val="0"/>
          <w:strike w:val="0"/>
          <w:sz w:val="22"/>
          <w:highlight w:val="green"/>
          <w:u w:val="single"/>
        </w:rPr>
        <w:t xml:space="preserve"> “</w:t>
      </w:r>
      <w:r>
        <w:rPr>
          <w:b/>
          <w:i w:val="0"/>
          <w:smallCaps w:val="0"/>
          <w:strike w:val="0"/>
          <w:sz w:val="22"/>
          <w:highlight w:val="green"/>
          <w:u w:val="single"/>
        </w:rPr>
        <w:t>creative</w:t>
      </w:r>
      <w:r>
        <w:rPr>
          <w:b w:val="0"/>
          <w:i w:val="0"/>
          <w:smallCaps w:val="0"/>
          <w:strike w:val="0"/>
          <w:sz w:val="22"/>
          <w:highlight w:val="green"/>
          <w:u w:val="single"/>
        </w:rPr>
        <w:t xml:space="preserve"> or </w:t>
      </w:r>
      <w:r>
        <w:rPr>
          <w:b/>
          <w:i w:val="0"/>
          <w:smallCaps w:val="0"/>
          <w:strike w:val="0"/>
          <w:sz w:val="22"/>
          <w:highlight w:val="green"/>
          <w:u w:val="single"/>
        </w:rPr>
        <w:t>inventive</w:t>
      </w:r>
      <w:r>
        <w:rPr>
          <w:b w:val="0"/>
          <w:i w:val="0"/>
          <w:smallCaps w:val="0"/>
          <w:strike w:val="0"/>
          <w:sz w:val="22"/>
          <w:highlight w:val="green"/>
          <w:u w:val="single"/>
        </w:rPr>
        <w:t>”</w:t>
      </w:r>
      <w:r>
        <w:rPr>
          <w:b w:val="0"/>
          <w:i w:val="0"/>
          <w:smallCaps w:val="0"/>
          <w:strike w:val="0"/>
          <w:sz w:val="22"/>
          <w:u w:val="single"/>
        </w:rPr>
        <w:t xml:space="preserve"> genius to serve social and </w:t>
      </w:r>
      <w:r>
        <w:rPr>
          <w:b/>
          <w:i w:val="0"/>
          <w:smallCaps w:val="0"/>
          <w:strike w:val="0"/>
          <w:sz w:val="22"/>
          <w:u w:val="single"/>
        </w:rPr>
        <w:t>economic</w:t>
      </w:r>
      <w:r>
        <w:rPr>
          <w:b w:val="0"/>
          <w:i w:val="0"/>
          <w:smallCaps w:val="0"/>
          <w:strike w:val="0"/>
          <w:sz w:val="22"/>
          <w:u w:val="single"/>
        </w:rPr>
        <w:t xml:space="preserve"> imperatives</w:t>
      </w:r>
      <w:r>
        <w:rPr>
          <w:b w:val="0"/>
          <w:i w:val="0"/>
          <w:smallCaps w:val="0"/>
          <w:strike w:val="0"/>
          <w:sz w:val="16"/>
          <w:u w:val="none"/>
        </w:rPr>
        <w:t xml:space="preserve">, non‐Western jurisprudence has legal personalities serving same or similar ends. These artificial legal personas or juridical entities are usually designed for the regulation of diverse </w:t>
      </w:r>
      <w:r>
        <w:rPr>
          <w:b/>
          <w:i w:val="0"/>
          <w:smallCaps w:val="0"/>
          <w:strike w:val="0"/>
          <w:sz w:val="22"/>
          <w:highlight w:val="green"/>
          <w:u w:val="single"/>
        </w:rPr>
        <w:t>functions</w:t>
      </w:r>
      <w:r>
        <w:rPr>
          <w:b w:val="0"/>
          <w:i w:val="0"/>
          <w:smallCaps w:val="0"/>
          <w:strike w:val="0"/>
          <w:sz w:val="22"/>
          <w:highlight w:val="green"/>
          <w:u w:val="single"/>
        </w:rPr>
        <w:t xml:space="preserve"> including land </w:t>
      </w:r>
      <w:r>
        <w:rPr>
          <w:b/>
          <w:i w:val="0"/>
          <w:smallCaps w:val="0"/>
          <w:strike w:val="0"/>
          <w:sz w:val="22"/>
          <w:highlight w:val="green"/>
          <w:u w:val="single"/>
        </w:rPr>
        <w:t>ownership</w:t>
      </w:r>
      <w:r>
        <w:rPr>
          <w:b w:val="0"/>
          <w:i w:val="0"/>
          <w:smallCaps w:val="0"/>
          <w:strike w:val="0"/>
          <w:sz w:val="22"/>
          <w:u w:val="single"/>
        </w:rPr>
        <w:t xml:space="preserve">, succession, </w:t>
      </w:r>
      <w:r>
        <w:rPr>
          <w:b/>
          <w:i w:val="0"/>
          <w:smallCaps w:val="0"/>
          <w:strike w:val="0"/>
          <w:sz w:val="22"/>
          <w:u w:val="single"/>
        </w:rPr>
        <w:t>inheritance</w:t>
      </w:r>
      <w:r>
        <w:rPr>
          <w:b w:val="0"/>
          <w:i w:val="0"/>
          <w:smallCaps w:val="0"/>
          <w:strike w:val="0"/>
          <w:sz w:val="22"/>
          <w:u w:val="single"/>
        </w:rPr>
        <w:t>, et cetera</w:t>
      </w:r>
      <w:r>
        <w:rPr>
          <w:b w:val="0"/>
          <w:i w:val="0"/>
          <w:smallCaps w:val="0"/>
          <w:strike w:val="0"/>
          <w:sz w:val="16"/>
          <w:u w:val="none"/>
        </w:rPr>
        <w:t xml:space="preserve">. Indeed, the category of legal persons is not closed. Yet, domestic laws in several decolonized states have largely maintained </w:t>
      </w:r>
      <w:r>
        <w:rPr>
          <w:b w:val="0"/>
          <w:i w:val="0"/>
          <w:smallCaps w:val="0"/>
          <w:strike w:val="0"/>
          <w:sz w:val="16"/>
          <w:u w:val="none"/>
        </w:rPr>
        <w:t>colonially inspired</w:t>
      </w:r>
      <w:r>
        <w:rPr>
          <w:b w:val="0"/>
          <w:i w:val="0"/>
          <w:smallCaps w:val="0"/>
          <w:strike w:val="0"/>
          <w:sz w:val="22"/>
          <w:u w:val="single"/>
        </w:rPr>
        <w:t xml:space="preserve"> </w:t>
      </w:r>
      <w:r>
        <w:rPr>
          <w:b/>
          <w:i w:val="0"/>
          <w:smallCaps w:val="0"/>
          <w:strike w:val="0"/>
          <w:sz w:val="22"/>
          <w:highlight w:val="green"/>
          <w:u w:val="single"/>
        </w:rPr>
        <w:t>categories</w:t>
      </w:r>
      <w:r>
        <w:rPr>
          <w:b w:val="0"/>
          <w:i w:val="0"/>
          <w:smallCaps w:val="0"/>
          <w:strike w:val="0"/>
          <w:sz w:val="22"/>
          <w:highlight w:val="green"/>
          <w:u w:val="single"/>
        </w:rPr>
        <w:t xml:space="preserve"> of legal </w:t>
      </w:r>
      <w:r>
        <w:rPr>
          <w:b/>
          <w:i w:val="0"/>
          <w:smallCaps w:val="0"/>
          <w:strike w:val="0"/>
          <w:sz w:val="22"/>
          <w:highlight w:val="green"/>
          <w:u w:val="single"/>
        </w:rPr>
        <w:t>personalities</w:t>
      </w:r>
      <w:r>
        <w:rPr>
          <w:b w:val="0"/>
          <w:i w:val="0"/>
          <w:smallCaps w:val="0"/>
          <w:strike w:val="0"/>
          <w:sz w:val="22"/>
          <w:u w:val="single"/>
        </w:rPr>
        <w:t xml:space="preserve">, thus further </w:t>
      </w:r>
      <w:r>
        <w:rPr>
          <w:b/>
          <w:i w:val="0"/>
          <w:smallCaps w:val="0"/>
          <w:strike w:val="0"/>
          <w:sz w:val="22"/>
          <w:highlight w:val="green"/>
          <w:u w:val="single"/>
        </w:rPr>
        <w:t>enabling</w:t>
      </w:r>
      <w:r>
        <w:rPr>
          <w:b w:val="0"/>
          <w:i w:val="0"/>
          <w:smallCaps w:val="0"/>
          <w:strike w:val="0"/>
          <w:sz w:val="22"/>
          <w:highlight w:val="green"/>
          <w:u w:val="single"/>
        </w:rPr>
        <w:t xml:space="preserve"> the </w:t>
      </w:r>
      <w:r>
        <w:rPr>
          <w:b/>
          <w:i w:val="0"/>
          <w:smallCaps w:val="0"/>
          <w:strike w:val="0"/>
          <w:sz w:val="22"/>
          <w:highlight w:val="green"/>
          <w:u w:val="single"/>
        </w:rPr>
        <w:t>irrelevance</w:t>
      </w:r>
      <w:r>
        <w:rPr>
          <w:b w:val="0"/>
          <w:i w:val="0"/>
          <w:smallCaps w:val="0"/>
          <w:strike w:val="0"/>
          <w:sz w:val="22"/>
          <w:highlight w:val="green"/>
          <w:u w:val="single"/>
        </w:rPr>
        <w:t xml:space="preserve"> of the</w:t>
      </w:r>
      <w:r>
        <w:rPr>
          <w:b w:val="0"/>
          <w:i w:val="0"/>
          <w:smallCaps w:val="0"/>
          <w:strike w:val="0"/>
          <w:sz w:val="22"/>
          <w:u w:val="single"/>
        </w:rPr>
        <w:t xml:space="preserve"> patent </w:t>
      </w:r>
      <w:r>
        <w:rPr>
          <w:b/>
          <w:i w:val="0"/>
          <w:smallCaps w:val="0"/>
          <w:strike w:val="0"/>
          <w:sz w:val="22"/>
          <w:highlight w:val="green"/>
          <w:u w:val="single"/>
        </w:rPr>
        <w:t>system</w:t>
      </w:r>
      <w:r>
        <w:rPr>
          <w:b w:val="0"/>
          <w:i w:val="0"/>
          <w:smallCaps w:val="0"/>
          <w:strike w:val="0"/>
          <w:sz w:val="22"/>
          <w:u w:val="single"/>
        </w:rPr>
        <w:t xml:space="preserve"> to local </w:t>
      </w:r>
      <w:r>
        <w:rPr>
          <w:b/>
          <w:i w:val="0"/>
          <w:smallCaps w:val="0"/>
          <w:strike w:val="0"/>
          <w:sz w:val="22"/>
          <w:u w:val="single"/>
        </w:rPr>
        <w:t>needs</w:t>
      </w:r>
      <w:r>
        <w:rPr>
          <w:b w:val="0"/>
          <w:i w:val="0"/>
          <w:smallCaps w:val="0"/>
          <w:strike w:val="0"/>
          <w:sz w:val="22"/>
          <w:u w:val="single"/>
        </w:rPr>
        <w:t xml:space="preserve"> and </w:t>
      </w:r>
      <w:r>
        <w:rPr>
          <w:b/>
          <w:i w:val="0"/>
          <w:smallCaps w:val="0"/>
          <w:strike w:val="0"/>
          <w:sz w:val="22"/>
          <w:u w:val="single"/>
        </w:rPr>
        <w:t>realities</w:t>
      </w:r>
      <w:r>
        <w:rPr>
          <w:b w:val="0"/>
          <w:i w:val="0"/>
          <w:smallCaps w:val="0"/>
          <w:strike w:val="0"/>
          <w:sz w:val="22"/>
          <w:u w:val="single"/>
        </w:rPr>
        <w:t xml:space="preserve">. </w:t>
      </w:r>
    </w:p>
    <w:p>
      <w:pPr>
        <w:spacing w:after="60"/>
      </w:pPr>
      <w:r>
        <w:rPr>
          <w:b w:val="0"/>
          <w:i w:val="0"/>
          <w:smallCaps w:val="0"/>
          <w:strike w:val="0"/>
          <w:sz w:val="16"/>
          <w:u w:val="none"/>
        </w:rPr>
        <w:t xml:space="preserve">Another </w:t>
      </w:r>
      <w:r>
        <w:rPr>
          <w:b w:val="0"/>
          <w:i w:val="0"/>
          <w:smallCaps w:val="0"/>
          <w:strike w:val="0"/>
          <w:sz w:val="22"/>
          <w:highlight w:val="green"/>
          <w:u w:val="single"/>
        </w:rPr>
        <w:t xml:space="preserve">Eurocentric </w:t>
      </w:r>
      <w:r>
        <w:rPr>
          <w:b/>
          <w:i w:val="0"/>
          <w:smallCaps w:val="0"/>
          <w:strike w:val="0"/>
          <w:sz w:val="22"/>
          <w:highlight w:val="green"/>
          <w:u w:val="single"/>
        </w:rPr>
        <w:t>aspect</w:t>
      </w:r>
      <w:r>
        <w:rPr>
          <w:b w:val="0"/>
          <w:i w:val="0"/>
          <w:smallCaps w:val="0"/>
          <w:strike w:val="0"/>
          <w:sz w:val="22"/>
          <w:u w:val="single"/>
        </w:rPr>
        <w:t xml:space="preserve"> of the patent </w:t>
      </w:r>
      <w:r>
        <w:rPr>
          <w:b/>
          <w:i w:val="0"/>
          <w:smallCaps w:val="0"/>
          <w:strike w:val="0"/>
          <w:sz w:val="22"/>
          <w:u w:val="single"/>
        </w:rPr>
        <w:t>regime</w:t>
      </w:r>
      <w:r>
        <w:rPr>
          <w:b w:val="0"/>
          <w:i w:val="0"/>
          <w:smallCaps w:val="0"/>
          <w:strike w:val="0"/>
          <w:sz w:val="22"/>
          <w:u w:val="single"/>
        </w:rPr>
        <w:t xml:space="preserve"> </w:t>
      </w:r>
      <w:r>
        <w:rPr>
          <w:b w:val="0"/>
          <w:i w:val="0"/>
          <w:smallCaps w:val="0"/>
          <w:strike w:val="0"/>
          <w:sz w:val="22"/>
          <w:highlight w:val="green"/>
          <w:u w:val="single"/>
        </w:rPr>
        <w:t xml:space="preserve">is the </w:t>
      </w:r>
      <w:r>
        <w:rPr>
          <w:b/>
          <w:i w:val="0"/>
          <w:smallCaps w:val="0"/>
          <w:strike w:val="0"/>
          <w:sz w:val="22"/>
          <w:highlight w:val="green"/>
          <w:u w:val="single"/>
        </w:rPr>
        <w:t>conception</w:t>
      </w:r>
      <w:r>
        <w:rPr>
          <w:b w:val="0"/>
          <w:i w:val="0"/>
          <w:smallCaps w:val="0"/>
          <w:strike w:val="0"/>
          <w:sz w:val="22"/>
          <w:highlight w:val="green"/>
          <w:u w:val="single"/>
        </w:rPr>
        <w:t xml:space="preserve"> of what constitutes </w:t>
      </w:r>
      <w:r>
        <w:rPr>
          <w:b/>
          <w:i w:val="0"/>
          <w:smallCaps w:val="0"/>
          <w:strike w:val="0"/>
          <w:sz w:val="22"/>
          <w:highlight w:val="green"/>
          <w:u w:val="single"/>
        </w:rPr>
        <w:t>public domain</w:t>
      </w:r>
      <w:r>
        <w:rPr>
          <w:b w:val="0"/>
          <w:i w:val="0"/>
          <w:smallCaps w:val="0"/>
          <w:strike w:val="0"/>
          <w:sz w:val="22"/>
          <w:u w:val="single"/>
        </w:rPr>
        <w:t xml:space="preserve"> for the purposes </w:t>
      </w:r>
      <w:r>
        <w:rPr>
          <w:b w:val="0"/>
          <w:i w:val="0"/>
          <w:smallCaps w:val="0"/>
          <w:strike w:val="0"/>
          <w:sz w:val="22"/>
          <w:highlight w:val="green"/>
          <w:u w:val="single"/>
        </w:rPr>
        <w:t xml:space="preserve">of </w:t>
      </w:r>
      <w:r>
        <w:rPr>
          <w:b/>
          <w:i w:val="0"/>
          <w:smallCaps w:val="0"/>
          <w:strike w:val="0"/>
          <w:sz w:val="22"/>
          <w:highlight w:val="green"/>
          <w:u w:val="single"/>
        </w:rPr>
        <w:t>evaluating</w:t>
      </w:r>
      <w:r>
        <w:rPr>
          <w:b w:val="0"/>
          <w:i w:val="0"/>
          <w:smallCaps w:val="0"/>
          <w:strike w:val="0"/>
          <w:sz w:val="22"/>
          <w:highlight w:val="green"/>
          <w:u w:val="single"/>
        </w:rPr>
        <w:t xml:space="preserve"> novelty</w:t>
      </w:r>
      <w:r>
        <w:rPr>
          <w:b w:val="0"/>
          <w:i w:val="0"/>
          <w:smallCaps w:val="0"/>
          <w:strike w:val="0"/>
          <w:sz w:val="16"/>
          <w:u w:val="none"/>
        </w:rPr>
        <w:t xml:space="preserve">. The prevalent notion is that TK is a matter of common knowledge and resides in the public domain. It is argued that this </w:t>
      </w:r>
      <w:r>
        <w:rPr>
          <w:b w:val="0"/>
          <w:i w:val="0"/>
          <w:smallCaps w:val="0"/>
          <w:strike w:val="0"/>
          <w:sz w:val="22"/>
          <w:u w:val="single"/>
        </w:rPr>
        <w:t xml:space="preserve">tenet of </w:t>
      </w:r>
      <w:r>
        <w:rPr>
          <w:b/>
          <w:i w:val="0"/>
          <w:smallCaps w:val="0"/>
          <w:strike w:val="0"/>
          <w:sz w:val="22"/>
          <w:u w:val="single"/>
        </w:rPr>
        <w:t>patent law</w:t>
      </w:r>
      <w:r>
        <w:rPr>
          <w:b w:val="0"/>
          <w:i w:val="0"/>
          <w:smallCaps w:val="0"/>
          <w:strike w:val="0"/>
          <w:sz w:val="22"/>
          <w:u w:val="single"/>
        </w:rPr>
        <w:t xml:space="preserve"> when uncritically </w:t>
      </w:r>
      <w:r>
        <w:rPr>
          <w:b/>
          <w:i w:val="0"/>
          <w:smallCaps w:val="0"/>
          <w:strike w:val="0"/>
          <w:sz w:val="22"/>
          <w:u w:val="single"/>
        </w:rPr>
        <w:t>applied</w:t>
      </w:r>
      <w:r>
        <w:rPr>
          <w:b w:val="0"/>
          <w:i w:val="0"/>
          <w:smallCaps w:val="0"/>
          <w:strike w:val="0"/>
          <w:sz w:val="22"/>
          <w:u w:val="single"/>
        </w:rPr>
        <w:t xml:space="preserve"> to </w:t>
      </w:r>
      <w:r>
        <w:rPr>
          <w:b/>
          <w:i w:val="0"/>
          <w:smallCaps w:val="0"/>
          <w:strike w:val="0"/>
          <w:sz w:val="22"/>
          <w:u w:val="single"/>
        </w:rPr>
        <w:t>traditional</w:t>
      </w:r>
      <w:r>
        <w:rPr>
          <w:b w:val="0"/>
          <w:i w:val="0"/>
          <w:smallCaps w:val="0"/>
          <w:strike w:val="0"/>
          <w:sz w:val="22"/>
          <w:u w:val="single"/>
        </w:rPr>
        <w:t xml:space="preserve"> and indigenous </w:t>
      </w:r>
      <w:r>
        <w:rPr>
          <w:b/>
          <w:i w:val="0"/>
          <w:smallCaps w:val="0"/>
          <w:strike w:val="0"/>
          <w:sz w:val="22"/>
          <w:u w:val="single"/>
        </w:rPr>
        <w:t>settings</w:t>
      </w:r>
      <w:r>
        <w:rPr>
          <w:b w:val="0"/>
          <w:i w:val="0"/>
          <w:smallCaps w:val="0"/>
          <w:strike w:val="0"/>
          <w:sz w:val="16"/>
          <w:u w:val="none"/>
        </w:rPr>
        <w:t xml:space="preserve"> is flawed on at least, three grounds. First, not all TK is in the public domain. For instance, native healers, in particular, hardly reveal the secrets of their medicinal knowledge and herbal remedies. Secrecy of their </w:t>
      </w:r>
      <w:r>
        <w:rPr>
          <w:b w:val="0"/>
          <w:i w:val="0"/>
          <w:smallCaps w:val="0"/>
          <w:strike w:val="0"/>
          <w:sz w:val="22"/>
          <w:highlight w:val="green"/>
          <w:u w:val="single"/>
        </w:rPr>
        <w:t xml:space="preserve">knowledge </w:t>
      </w:r>
      <w:r>
        <w:rPr>
          <w:b/>
          <w:i w:val="0"/>
          <w:smallCaps w:val="0"/>
          <w:strike w:val="0"/>
          <w:sz w:val="22"/>
          <w:highlight w:val="green"/>
          <w:u w:val="single"/>
        </w:rPr>
        <w:t>guarantees</w:t>
      </w:r>
      <w:r>
        <w:rPr>
          <w:b w:val="0"/>
          <w:i w:val="0"/>
          <w:smallCaps w:val="0"/>
          <w:strike w:val="0"/>
          <w:sz w:val="22"/>
          <w:u w:val="single"/>
        </w:rPr>
        <w:t xml:space="preserve"> their </w:t>
      </w:r>
      <w:r>
        <w:rPr>
          <w:b/>
          <w:i w:val="0"/>
          <w:smallCaps w:val="0"/>
          <w:strike w:val="0"/>
          <w:sz w:val="22"/>
          <w:u w:val="single"/>
        </w:rPr>
        <w:t>power</w:t>
      </w:r>
      <w:r>
        <w:rPr>
          <w:b w:val="0"/>
          <w:i w:val="0"/>
          <w:smallCaps w:val="0"/>
          <w:strike w:val="0"/>
          <w:sz w:val="22"/>
          <w:u w:val="single"/>
        </w:rPr>
        <w:t xml:space="preserve"> and </w:t>
      </w:r>
      <w:r>
        <w:rPr>
          <w:b/>
          <w:i w:val="0"/>
          <w:smallCaps w:val="0"/>
          <w:strike w:val="0"/>
          <w:sz w:val="22"/>
          <w:highlight w:val="green"/>
          <w:u w:val="single"/>
        </w:rPr>
        <w:t>influence</w:t>
      </w:r>
      <w:r>
        <w:rPr>
          <w:b w:val="0"/>
          <w:i w:val="0"/>
          <w:smallCaps w:val="0"/>
          <w:strike w:val="0"/>
          <w:sz w:val="22"/>
          <w:highlight w:val="green"/>
          <w:u w:val="single"/>
        </w:rPr>
        <w:t xml:space="preserve"> in the local </w:t>
      </w:r>
      <w:r>
        <w:rPr>
          <w:b/>
          <w:i w:val="0"/>
          <w:smallCaps w:val="0"/>
          <w:strike w:val="0"/>
          <w:sz w:val="22"/>
          <w:highlight w:val="green"/>
          <w:u w:val="single"/>
        </w:rPr>
        <w:t>communities</w:t>
      </w:r>
      <w:r>
        <w:rPr>
          <w:b w:val="0"/>
          <w:i w:val="0"/>
          <w:smallCaps w:val="0"/>
          <w:strike w:val="0"/>
          <w:sz w:val="16"/>
          <w:u w:val="none"/>
        </w:rPr>
        <w:t>. Indeed, the rituals, magic and spirituality which often surrounds the practice of traditional healing is, in addition to their other myriad societal functions</w:t>
      </w:r>
      <w:r>
        <w:rPr>
          <w:b w:val="0"/>
          <w:i w:val="0"/>
          <w:smallCaps w:val="0"/>
          <w:strike w:val="0"/>
          <w:sz w:val="22"/>
          <w:u w:val="single"/>
        </w:rPr>
        <w:t xml:space="preserve">, a </w:t>
      </w:r>
      <w:r>
        <w:rPr>
          <w:b/>
          <w:i w:val="0"/>
          <w:smallCaps w:val="0"/>
          <w:strike w:val="0"/>
          <w:sz w:val="22"/>
          <w:u w:val="single"/>
        </w:rPr>
        <w:t>critical aspect</w:t>
      </w:r>
      <w:r>
        <w:rPr>
          <w:b w:val="0"/>
          <w:i w:val="0"/>
          <w:smallCaps w:val="0"/>
          <w:strike w:val="0"/>
          <w:sz w:val="22"/>
          <w:u w:val="single"/>
        </w:rPr>
        <w:t xml:space="preserve"> of the “</w:t>
      </w:r>
      <w:r>
        <w:rPr>
          <w:b/>
          <w:i w:val="0"/>
          <w:smallCaps w:val="0"/>
          <w:strike w:val="0"/>
          <w:sz w:val="22"/>
          <w:u w:val="single"/>
        </w:rPr>
        <w:t>secrecy regimes</w:t>
      </w:r>
      <w:r>
        <w:rPr>
          <w:b w:val="0"/>
          <w:i w:val="0"/>
          <w:smallCaps w:val="0"/>
          <w:strike w:val="0"/>
          <w:sz w:val="22"/>
          <w:u w:val="single"/>
        </w:rPr>
        <w:t>”</w:t>
      </w:r>
      <w:r>
        <w:rPr>
          <w:b w:val="0"/>
          <w:i w:val="0"/>
          <w:smallCaps w:val="0"/>
          <w:strike w:val="0"/>
          <w:sz w:val="16"/>
          <w:u w:val="none"/>
        </w:rPr>
        <w:t xml:space="preserve"> (WIPO Report, ibid in footnote) imposed on such </w:t>
      </w:r>
      <w:r>
        <w:rPr>
          <w:b w:val="0"/>
          <w:i w:val="0"/>
          <w:smallCaps w:val="0"/>
          <w:strike w:val="0"/>
          <w:sz w:val="22"/>
          <w:u w:val="single"/>
        </w:rPr>
        <w:t xml:space="preserve">bio‐cultural </w:t>
      </w:r>
      <w:r>
        <w:rPr>
          <w:b/>
          <w:i w:val="0"/>
          <w:smallCaps w:val="0"/>
          <w:strike w:val="0"/>
          <w:sz w:val="22"/>
          <w:u w:val="single"/>
        </w:rPr>
        <w:t>knowledge</w:t>
      </w:r>
      <w:r>
        <w:rPr>
          <w:b w:val="0"/>
          <w:i w:val="0"/>
          <w:smallCaps w:val="0"/>
          <w:strike w:val="0"/>
          <w:sz w:val="22"/>
          <w:u w:val="single"/>
        </w:rPr>
        <w:t xml:space="preserve"> by </w:t>
      </w:r>
      <w:r>
        <w:rPr>
          <w:b/>
          <w:i w:val="0"/>
          <w:smallCaps w:val="0"/>
          <w:strike w:val="0"/>
          <w:sz w:val="22"/>
          <w:u w:val="single"/>
        </w:rPr>
        <w:t>herbalists</w:t>
      </w:r>
      <w:r>
        <w:rPr>
          <w:b w:val="0"/>
          <w:i w:val="0"/>
          <w:smallCaps w:val="0"/>
          <w:strike w:val="0"/>
          <w:sz w:val="22"/>
          <w:u w:val="single"/>
        </w:rPr>
        <w:t xml:space="preserve"> and </w:t>
      </w:r>
      <w:r>
        <w:rPr>
          <w:b/>
          <w:i w:val="0"/>
          <w:smallCaps w:val="0"/>
          <w:strike w:val="0"/>
          <w:sz w:val="22"/>
          <w:u w:val="single"/>
        </w:rPr>
        <w:t>healers</w:t>
      </w:r>
      <w:r>
        <w:rPr>
          <w:b w:val="0"/>
          <w:i w:val="0"/>
          <w:smallCaps w:val="0"/>
          <w:strike w:val="0"/>
          <w:sz w:val="22"/>
          <w:u w:val="single"/>
        </w:rPr>
        <w:t xml:space="preserve">. </w:t>
      </w:r>
    </w:p>
    <w:p>
      <w:pPr>
        <w:spacing w:after="60"/>
      </w:pPr>
      <w:r>
        <w:rPr>
          <w:b w:val="0"/>
          <w:i w:val="0"/>
          <w:smallCaps w:val="0"/>
          <w:strike w:val="0"/>
          <w:sz w:val="16"/>
          <w:u w:val="none"/>
        </w:rPr>
        <w:t xml:space="preserve">Second, assuming, but not conceding that all TK is in the public domain, </w:t>
      </w:r>
      <w:r>
        <w:rPr>
          <w:b/>
          <w:i w:val="0"/>
          <w:smallCaps w:val="0"/>
          <w:strike w:val="0"/>
          <w:sz w:val="22"/>
          <w:highlight w:val="green"/>
          <w:u w:val="single"/>
        </w:rPr>
        <w:t>placement</w:t>
      </w:r>
      <w:r>
        <w:rPr>
          <w:b w:val="0"/>
          <w:i w:val="0"/>
          <w:smallCaps w:val="0"/>
          <w:strike w:val="0"/>
          <w:sz w:val="22"/>
          <w:highlight w:val="green"/>
          <w:u w:val="single"/>
        </w:rPr>
        <w:t xml:space="preserve"> of</w:t>
      </w:r>
      <w:r>
        <w:rPr>
          <w:b w:val="0"/>
          <w:i w:val="0"/>
          <w:smallCaps w:val="0"/>
          <w:strike w:val="0"/>
          <w:sz w:val="22"/>
          <w:u w:val="single"/>
        </w:rPr>
        <w:t xml:space="preserve"> such </w:t>
      </w:r>
      <w:r>
        <w:rPr>
          <w:b/>
          <w:i w:val="0"/>
          <w:smallCaps w:val="0"/>
          <w:strike w:val="0"/>
          <w:sz w:val="22"/>
          <w:highlight w:val="green"/>
          <w:u w:val="single"/>
        </w:rPr>
        <w:t>knowledge</w:t>
      </w:r>
      <w:r>
        <w:rPr>
          <w:b w:val="0"/>
          <w:i w:val="0"/>
          <w:smallCaps w:val="0"/>
          <w:strike w:val="0"/>
          <w:sz w:val="22"/>
          <w:u w:val="single"/>
        </w:rPr>
        <w:t xml:space="preserve"> in the public </w:t>
      </w:r>
      <w:r>
        <w:rPr>
          <w:b/>
          <w:i w:val="0"/>
          <w:smallCaps w:val="0"/>
          <w:strike w:val="0"/>
          <w:sz w:val="22"/>
          <w:u w:val="single"/>
        </w:rPr>
        <w:t>domain</w:t>
      </w:r>
      <w:r>
        <w:rPr>
          <w:b w:val="0"/>
          <w:i w:val="0"/>
          <w:smallCaps w:val="0"/>
          <w:strike w:val="0"/>
          <w:sz w:val="22"/>
          <w:u w:val="single"/>
        </w:rPr>
        <w:t xml:space="preserve"> </w:t>
      </w:r>
      <w:r>
        <w:rPr>
          <w:b w:val="0"/>
          <w:i w:val="0"/>
          <w:smallCaps w:val="0"/>
          <w:strike w:val="0"/>
          <w:sz w:val="22"/>
          <w:highlight w:val="green"/>
          <w:u w:val="single"/>
        </w:rPr>
        <w:t>by</w:t>
      </w:r>
      <w:r>
        <w:rPr>
          <w:b w:val="0"/>
          <w:i w:val="0"/>
          <w:smallCaps w:val="0"/>
          <w:strike w:val="0"/>
          <w:sz w:val="22"/>
          <w:u w:val="single"/>
        </w:rPr>
        <w:t xml:space="preserve"> overzealous </w:t>
      </w:r>
      <w:r>
        <w:rPr>
          <w:b/>
          <w:i w:val="0"/>
          <w:smallCaps w:val="0"/>
          <w:strike w:val="0"/>
          <w:sz w:val="22"/>
          <w:highlight w:val="green"/>
          <w:u w:val="single"/>
        </w:rPr>
        <w:t>researchers</w:t>
      </w:r>
      <w:r>
        <w:rPr>
          <w:b w:val="0"/>
          <w:i w:val="0"/>
          <w:smallCaps w:val="0"/>
          <w:strike w:val="0"/>
          <w:sz w:val="22"/>
          <w:highlight w:val="green"/>
          <w:u w:val="single"/>
        </w:rPr>
        <w:t xml:space="preserve"> without the </w:t>
      </w:r>
      <w:r>
        <w:rPr>
          <w:b/>
          <w:i w:val="0"/>
          <w:smallCaps w:val="0"/>
          <w:strike w:val="0"/>
          <w:sz w:val="22"/>
          <w:highlight w:val="green"/>
          <w:u w:val="single"/>
        </w:rPr>
        <w:t>consent</w:t>
      </w:r>
      <w:r>
        <w:rPr>
          <w:b w:val="0"/>
          <w:i w:val="0"/>
          <w:smallCaps w:val="0"/>
          <w:strike w:val="0"/>
          <w:sz w:val="22"/>
          <w:u w:val="single"/>
        </w:rPr>
        <w:t xml:space="preserve"> of native </w:t>
      </w:r>
      <w:r>
        <w:rPr>
          <w:b/>
          <w:i w:val="0"/>
          <w:smallCaps w:val="0"/>
          <w:strike w:val="0"/>
          <w:sz w:val="22"/>
          <w:u w:val="single"/>
        </w:rPr>
        <w:t>healers</w:t>
      </w:r>
      <w:r>
        <w:rPr>
          <w:b w:val="0"/>
          <w:i w:val="0"/>
          <w:smallCaps w:val="0"/>
          <w:strike w:val="0"/>
          <w:sz w:val="16"/>
          <w:u w:val="none"/>
        </w:rPr>
        <w:t xml:space="preserve">, does not ipso facto, </w:t>
      </w:r>
      <w:r>
        <w:rPr>
          <w:b/>
          <w:i w:val="0"/>
          <w:smallCaps w:val="0"/>
          <w:strike w:val="0"/>
          <w:sz w:val="22"/>
          <w:highlight w:val="green"/>
          <w:u w:val="single"/>
        </w:rPr>
        <w:t>extinguish</w:t>
      </w:r>
      <w:r>
        <w:rPr>
          <w:b w:val="0"/>
          <w:i w:val="0"/>
          <w:smallCaps w:val="0"/>
          <w:strike w:val="0"/>
          <w:sz w:val="22"/>
          <w:u w:val="single"/>
        </w:rPr>
        <w:t xml:space="preserve"> a right of </w:t>
      </w:r>
      <w:r>
        <w:rPr>
          <w:b w:val="0"/>
          <w:i w:val="0"/>
          <w:smallCaps w:val="0"/>
          <w:strike w:val="0"/>
          <w:sz w:val="22"/>
          <w:highlight w:val="green"/>
          <w:u w:val="single"/>
        </w:rPr>
        <w:t>ownership to</w:t>
      </w:r>
      <w:r>
        <w:rPr>
          <w:b w:val="0"/>
          <w:i w:val="0"/>
          <w:smallCaps w:val="0"/>
          <w:strike w:val="0"/>
          <w:sz w:val="22"/>
          <w:u w:val="single"/>
        </w:rPr>
        <w:t xml:space="preserve"> </w:t>
      </w:r>
      <w:r>
        <w:rPr>
          <w:b/>
          <w:i w:val="0"/>
          <w:smallCaps w:val="0"/>
          <w:strike w:val="0"/>
          <w:sz w:val="22"/>
          <w:u w:val="single"/>
        </w:rPr>
        <w:t xml:space="preserve">intellectual </w:t>
      </w:r>
      <w:r>
        <w:rPr>
          <w:b/>
          <w:i w:val="0"/>
          <w:smallCaps w:val="0"/>
          <w:strike w:val="0"/>
          <w:sz w:val="22"/>
          <w:highlight w:val="green"/>
          <w:u w:val="single"/>
        </w:rPr>
        <w:t>property</w:t>
      </w:r>
      <w:r>
        <w:rPr>
          <w:b w:val="0"/>
          <w:i w:val="0"/>
          <w:smallCaps w:val="0"/>
          <w:strike w:val="0"/>
          <w:sz w:val="16"/>
          <w:u w:val="none"/>
        </w:rPr>
        <w:t xml:space="preserve">. This principle is the rationale for the regime of prior informed consent (PIC) in contemporary international law on access to traditional and bio‐cultural knowledge. Ironically, it is </w:t>
      </w:r>
      <w:r>
        <w:rPr>
          <w:b w:val="0"/>
          <w:i w:val="0"/>
          <w:smallCaps w:val="0"/>
          <w:strike w:val="0"/>
          <w:sz w:val="22"/>
          <w:highlight w:val="green"/>
          <w:u w:val="single"/>
        </w:rPr>
        <w:t>often</w:t>
      </w:r>
      <w:r>
        <w:rPr>
          <w:b w:val="0"/>
          <w:i w:val="0"/>
          <w:smallCaps w:val="0"/>
          <w:strike w:val="0"/>
          <w:sz w:val="22"/>
          <w:u w:val="single"/>
        </w:rPr>
        <w:t xml:space="preserve"> the </w:t>
      </w:r>
      <w:r>
        <w:rPr>
          <w:b w:val="0"/>
          <w:i w:val="0"/>
          <w:smallCaps w:val="0"/>
          <w:strike w:val="0"/>
          <w:sz w:val="22"/>
          <w:highlight w:val="green"/>
          <w:u w:val="single"/>
        </w:rPr>
        <w:t xml:space="preserve">same </w:t>
      </w:r>
      <w:r>
        <w:rPr>
          <w:b/>
          <w:i w:val="0"/>
          <w:smallCaps w:val="0"/>
          <w:strike w:val="0"/>
          <w:sz w:val="22"/>
          <w:highlight w:val="green"/>
          <w:u w:val="single"/>
        </w:rPr>
        <w:t>information</w:t>
      </w:r>
      <w:r>
        <w:rPr>
          <w:b w:val="0"/>
          <w:i w:val="0"/>
          <w:smallCaps w:val="0"/>
          <w:strike w:val="0"/>
          <w:sz w:val="22"/>
          <w:u w:val="single"/>
        </w:rPr>
        <w:t xml:space="preserve"> or </w:t>
      </w:r>
      <w:r>
        <w:rPr>
          <w:b/>
          <w:i w:val="0"/>
          <w:smallCaps w:val="0"/>
          <w:strike w:val="0"/>
          <w:sz w:val="22"/>
          <w:u w:val="single"/>
        </w:rPr>
        <w:t>knowledge</w:t>
      </w:r>
      <w:r>
        <w:rPr>
          <w:b w:val="0"/>
          <w:i w:val="0"/>
          <w:smallCaps w:val="0"/>
          <w:strike w:val="0"/>
          <w:sz w:val="22"/>
          <w:u w:val="single"/>
        </w:rPr>
        <w:t xml:space="preserve"> construed </w:t>
      </w:r>
      <w:r>
        <w:rPr>
          <w:b w:val="0"/>
          <w:i w:val="0"/>
          <w:smallCaps w:val="0"/>
          <w:strike w:val="0"/>
          <w:sz w:val="22"/>
          <w:highlight w:val="green"/>
          <w:u w:val="single"/>
        </w:rPr>
        <w:t>to be</w:t>
      </w:r>
      <w:r>
        <w:rPr>
          <w:b w:val="0"/>
          <w:i w:val="0"/>
          <w:smallCaps w:val="0"/>
          <w:strike w:val="0"/>
          <w:sz w:val="22"/>
          <w:u w:val="single"/>
        </w:rPr>
        <w:t xml:space="preserve"> in the “</w:t>
      </w:r>
      <w:r>
        <w:rPr>
          <w:b/>
          <w:i w:val="0"/>
          <w:smallCaps w:val="0"/>
          <w:strike w:val="0"/>
          <w:sz w:val="22"/>
          <w:highlight w:val="green"/>
          <w:u w:val="single"/>
        </w:rPr>
        <w:t>public domain</w:t>
      </w:r>
      <w:r>
        <w:rPr>
          <w:b w:val="0"/>
          <w:i w:val="0"/>
          <w:smallCaps w:val="0"/>
          <w:strike w:val="0"/>
          <w:sz w:val="22"/>
          <w:u w:val="single"/>
        </w:rPr>
        <w:t>”</w:t>
      </w:r>
      <w:r>
        <w:rPr>
          <w:b w:val="0"/>
          <w:i w:val="0"/>
          <w:smallCaps w:val="0"/>
          <w:strike w:val="0"/>
          <w:sz w:val="16"/>
          <w:u w:val="none"/>
        </w:rPr>
        <w:t xml:space="preserve"> in the so‐called traditional societies, which </w:t>
      </w:r>
      <w:r>
        <w:rPr>
          <w:b w:val="0"/>
          <w:i w:val="0"/>
          <w:smallCaps w:val="0"/>
          <w:strike w:val="0"/>
          <w:sz w:val="22"/>
          <w:highlight w:val="green"/>
          <w:u w:val="single"/>
        </w:rPr>
        <w:t>affords</w:t>
      </w:r>
      <w:r>
        <w:rPr>
          <w:b w:val="0"/>
          <w:i w:val="0"/>
          <w:smallCaps w:val="0"/>
          <w:strike w:val="0"/>
          <w:sz w:val="22"/>
          <w:u w:val="single"/>
        </w:rPr>
        <w:t xml:space="preserve"> the </w:t>
      </w:r>
      <w:r>
        <w:rPr>
          <w:b/>
          <w:i w:val="0"/>
          <w:smallCaps w:val="0"/>
          <w:strike w:val="0"/>
          <w:sz w:val="22"/>
          <w:highlight w:val="green"/>
          <w:u w:val="single"/>
        </w:rPr>
        <w:t>basis</w:t>
      </w:r>
      <w:r>
        <w:rPr>
          <w:b w:val="0"/>
          <w:i w:val="0"/>
          <w:smallCaps w:val="0"/>
          <w:strike w:val="0"/>
          <w:sz w:val="22"/>
          <w:highlight w:val="green"/>
          <w:u w:val="single"/>
        </w:rPr>
        <w:t xml:space="preserve"> for</w:t>
      </w:r>
      <w:r>
        <w:rPr>
          <w:b w:val="0"/>
          <w:i w:val="0"/>
          <w:smallCaps w:val="0"/>
          <w:strike w:val="0"/>
          <w:sz w:val="22"/>
          <w:u w:val="single"/>
        </w:rPr>
        <w:t xml:space="preserve"> some </w:t>
      </w:r>
      <w:r>
        <w:rPr>
          <w:b/>
          <w:i w:val="0"/>
          <w:smallCaps w:val="0"/>
          <w:strike w:val="0"/>
          <w:sz w:val="22"/>
          <w:highlight w:val="green"/>
          <w:u w:val="single"/>
        </w:rPr>
        <w:t>patents</w:t>
      </w:r>
      <w:r>
        <w:rPr>
          <w:b w:val="0"/>
          <w:i w:val="0"/>
          <w:smallCaps w:val="0"/>
          <w:strike w:val="0"/>
          <w:sz w:val="22"/>
          <w:u w:val="single"/>
        </w:rPr>
        <w:t xml:space="preserve"> on bio‐cultural </w:t>
      </w:r>
      <w:r>
        <w:rPr>
          <w:b/>
          <w:i w:val="0"/>
          <w:smallCaps w:val="0"/>
          <w:strike w:val="0"/>
          <w:sz w:val="22"/>
          <w:u w:val="single"/>
        </w:rPr>
        <w:t>resources</w:t>
      </w:r>
      <w:r>
        <w:rPr>
          <w:b w:val="0"/>
          <w:i w:val="0"/>
          <w:smallCaps w:val="0"/>
          <w:strike w:val="0"/>
          <w:sz w:val="16"/>
          <w:u w:val="none"/>
        </w:rPr>
        <w:t xml:space="preserve"> in some other countries, particularly, Japan and the United States. Third, the concept of public domain is an occidental legal </w:t>
      </w:r>
      <w:r>
        <w:rPr>
          <w:b/>
          <w:i w:val="0"/>
          <w:smallCaps w:val="0"/>
          <w:strike w:val="0"/>
          <w:sz w:val="22"/>
          <w:highlight w:val="green"/>
          <w:u w:val="single"/>
        </w:rPr>
        <w:t>principle</w:t>
      </w:r>
      <w:r>
        <w:rPr>
          <w:b w:val="0"/>
          <w:i w:val="0"/>
          <w:smallCaps w:val="0"/>
          <w:strike w:val="0"/>
          <w:sz w:val="22"/>
          <w:u w:val="single"/>
        </w:rPr>
        <w:t xml:space="preserve"> which </w:t>
      </w:r>
      <w:r>
        <w:rPr>
          <w:b w:val="0"/>
          <w:i w:val="0"/>
          <w:smallCaps w:val="0"/>
          <w:strike w:val="0"/>
          <w:sz w:val="22"/>
          <w:highlight w:val="green"/>
          <w:u w:val="single"/>
        </w:rPr>
        <w:t>should not</w:t>
      </w:r>
      <w:r>
        <w:rPr>
          <w:b w:val="0"/>
          <w:i w:val="0"/>
          <w:smallCaps w:val="0"/>
          <w:strike w:val="0"/>
          <w:sz w:val="22"/>
          <w:u w:val="single"/>
        </w:rPr>
        <w:t xml:space="preserve"> be </w:t>
      </w:r>
      <w:r>
        <w:rPr>
          <w:b/>
          <w:i w:val="0"/>
          <w:smallCaps w:val="0"/>
          <w:strike w:val="0"/>
          <w:sz w:val="22"/>
          <w:highlight w:val="green"/>
          <w:u w:val="single"/>
        </w:rPr>
        <w:t>foisted</w:t>
      </w:r>
      <w:r>
        <w:rPr>
          <w:b w:val="0"/>
          <w:i w:val="0"/>
          <w:smallCaps w:val="0"/>
          <w:strike w:val="0"/>
          <w:sz w:val="22"/>
          <w:highlight w:val="green"/>
          <w:u w:val="single"/>
        </w:rPr>
        <w:t xml:space="preserve"> on</w:t>
      </w:r>
      <w:r>
        <w:rPr>
          <w:b w:val="0"/>
          <w:i w:val="0"/>
          <w:smallCaps w:val="0"/>
          <w:strike w:val="0"/>
          <w:sz w:val="22"/>
          <w:u w:val="single"/>
        </w:rPr>
        <w:t xml:space="preserve"> traditional </w:t>
      </w:r>
      <w:r>
        <w:rPr>
          <w:b/>
          <w:i w:val="0"/>
          <w:smallCaps w:val="0"/>
          <w:strike w:val="0"/>
          <w:sz w:val="22"/>
          <w:highlight w:val="green"/>
          <w:u w:val="single"/>
        </w:rPr>
        <w:t>societies</w:t>
      </w:r>
      <w:r>
        <w:rPr>
          <w:b w:val="0"/>
          <w:i w:val="0"/>
          <w:smallCaps w:val="0"/>
          <w:strike w:val="0"/>
          <w:sz w:val="16"/>
          <w:u w:val="none"/>
        </w:rPr>
        <w:t xml:space="preserve"> without informed consent. </w:t>
      </w:r>
    </w:p>
    <w:p>
      <w:pPr>
        <w:spacing w:after="60"/>
      </w:pPr>
      <w:r>
        <w:rPr>
          <w:b w:val="0"/>
          <w:i w:val="0"/>
          <w:smallCaps w:val="0"/>
          <w:strike w:val="0"/>
          <w:sz w:val="16"/>
          <w:u w:val="none"/>
        </w:rPr>
        <w:t xml:space="preserve">Beyond the problem of what constitutes public domain, another aspect of the problem of novelty is the mistaken assumption by many policy‐makers that there is a universal consensus on the concept of novelty as a criterion in granting patents. A careful analysis of international patent law and practice does not support the notion of absolute global novelty in the determination of what constitutes a patentable invention. As the United Nations Conference on Trade and Development (UNCTAD) recently observed, “there is no agreed international standard of absolute novelty and, within limits, member countries may apply the different approaches recognized in domestic patent laws.”15 </w:t>
      </w:r>
    </w:p>
    <w:p>
      <w:pPr>
        <w:spacing w:after="60"/>
      </w:pPr>
      <w:r>
        <w:rPr>
          <w:b w:val="0"/>
          <w:i w:val="0"/>
          <w:smallCaps w:val="0"/>
          <w:strike w:val="0"/>
          <w:sz w:val="16"/>
          <w:u w:val="none"/>
        </w:rPr>
        <w:t xml:space="preserve">In addition to the definitional anarchy on novelty, an international juridical bifurcation arising from the United States and European patent law jurisprudence on novelty and prior art has not yet been bridged. This technical and geographically‐relative approach to construing the concept of novelty and prior art is hardly dissimilar to the medieval and eighteenth‐century patent policies of the fledgling European industrial States; yet it has legislative force by virtue of section 102 of the United States Patent Act.16 </w:t>
      </w:r>
    </w:p>
    <w:p>
      <w:pPr>
        <w:spacing w:after="60"/>
      </w:pPr>
      <w:r>
        <w:rPr>
          <w:b w:val="0"/>
          <w:i w:val="0"/>
          <w:smallCaps w:val="0"/>
          <w:strike w:val="0"/>
          <w:sz w:val="16"/>
          <w:u w:val="none"/>
        </w:rPr>
        <w:t xml:space="preserve">Given that innovations in the informal paradigm are largely conducted in traditions where the keeping of formalized data in books is the exception rather than the rule, the seeming triteness of such TK in such societies would not debar such bio‐cultural knowledge from being construed as “novel” in another country like the United States (Oddi, 1989). The paradox is that such bio‐ cultural knowledge would be ineligible for patent protection in the home country. Hence, what is an obvious invention or prior art in India, as the controversy over Neem derivatives and Turmeric patents demonstrate (Jain, 1999), may be construed as a novel art in the United States of America for the purposes of obtaining a patent grant. Yet, in both cases, the TK were unjustly patented in the United States. Consequently, the blurring of the law on novelty permits, or even encourages some biotechnology and pharmaceutical firms to privatize traditional bio‐ cultural knowledge through a cosmetic re‐packaging of those resources and knowledge. </w:t>
      </w:r>
    </w:p>
    <w:p>
      <w:pPr>
        <w:spacing w:after="60"/>
      </w:pPr>
      <w:r>
        <w:rPr>
          <w:b w:val="0"/>
          <w:i w:val="0"/>
          <w:smallCaps w:val="0"/>
          <w:strike w:val="0"/>
          <w:sz w:val="16"/>
          <w:u w:val="none"/>
        </w:rPr>
        <w:t xml:space="preserve">Thus, it is </w:t>
      </w:r>
      <w:r>
        <w:rPr>
          <w:b/>
          <w:i w:val="0"/>
          <w:smallCaps w:val="0"/>
          <w:strike w:val="0"/>
          <w:sz w:val="22"/>
          <w:highlight w:val="green"/>
          <w:u w:val="single"/>
        </w:rPr>
        <w:t>evident</w:t>
      </w:r>
      <w:r>
        <w:rPr>
          <w:b w:val="0"/>
          <w:i w:val="0"/>
          <w:smallCaps w:val="0"/>
          <w:strike w:val="0"/>
          <w:sz w:val="22"/>
          <w:highlight w:val="green"/>
          <w:u w:val="single"/>
        </w:rPr>
        <w:t xml:space="preserve"> that</w:t>
      </w:r>
      <w:r>
        <w:rPr>
          <w:b w:val="0"/>
          <w:i w:val="0"/>
          <w:smallCaps w:val="0"/>
          <w:strike w:val="0"/>
          <w:sz w:val="22"/>
          <w:u w:val="single"/>
        </w:rPr>
        <w:t xml:space="preserve"> at the </w:t>
      </w:r>
      <w:r>
        <w:rPr>
          <w:b/>
          <w:i w:val="0"/>
          <w:smallCaps w:val="0"/>
          <w:strike w:val="0"/>
          <w:sz w:val="22"/>
          <w:u w:val="single"/>
        </w:rPr>
        <w:t>doctrinal level</w:t>
      </w:r>
      <w:r>
        <w:rPr>
          <w:b w:val="0"/>
          <w:i w:val="0"/>
          <w:smallCaps w:val="0"/>
          <w:strike w:val="0"/>
          <w:sz w:val="16"/>
          <w:u w:val="none"/>
        </w:rPr>
        <w:t xml:space="preserve">, the ideological values and worldview encoded in the </w:t>
      </w:r>
      <w:r>
        <w:rPr>
          <w:b w:val="0"/>
          <w:i w:val="0"/>
          <w:smallCaps w:val="0"/>
          <w:strike w:val="0"/>
          <w:sz w:val="22"/>
          <w:highlight w:val="green"/>
          <w:u w:val="single"/>
        </w:rPr>
        <w:t>IPRs</w:t>
      </w:r>
      <w:r>
        <w:rPr>
          <w:b w:val="0"/>
          <w:i w:val="0"/>
          <w:smallCaps w:val="0"/>
          <w:strike w:val="0"/>
          <w:sz w:val="22"/>
          <w:u w:val="single"/>
        </w:rPr>
        <w:t xml:space="preserve"> of the </w:t>
      </w:r>
      <w:r>
        <w:rPr>
          <w:b/>
          <w:i w:val="0"/>
          <w:smallCaps w:val="0"/>
          <w:strike w:val="0"/>
          <w:sz w:val="22"/>
          <w:u w:val="single"/>
        </w:rPr>
        <w:t>colonizing</w:t>
      </w:r>
      <w:r>
        <w:rPr>
          <w:b w:val="0"/>
          <w:i w:val="0"/>
          <w:smallCaps w:val="0"/>
          <w:strike w:val="0"/>
          <w:sz w:val="22"/>
          <w:u w:val="single"/>
        </w:rPr>
        <w:t xml:space="preserve"> European powers were </w:t>
      </w:r>
      <w:r>
        <w:rPr>
          <w:b w:val="0"/>
          <w:i w:val="0"/>
          <w:smallCaps w:val="0"/>
          <w:strike w:val="0"/>
          <w:sz w:val="22"/>
          <w:highlight w:val="green"/>
          <w:u w:val="single"/>
        </w:rPr>
        <w:t xml:space="preserve">often </w:t>
      </w:r>
      <w:r>
        <w:rPr>
          <w:b/>
          <w:i w:val="0"/>
          <w:smallCaps w:val="0"/>
          <w:strike w:val="0"/>
          <w:sz w:val="22"/>
          <w:highlight w:val="green"/>
          <w:u w:val="single"/>
        </w:rPr>
        <w:t>alien</w:t>
      </w:r>
      <w:r>
        <w:rPr>
          <w:b w:val="0"/>
          <w:i w:val="0"/>
          <w:smallCaps w:val="0"/>
          <w:strike w:val="0"/>
          <w:sz w:val="22"/>
          <w:highlight w:val="green"/>
          <w:u w:val="single"/>
        </w:rPr>
        <w:t xml:space="preserve"> to </w:t>
      </w:r>
      <w:r>
        <w:rPr>
          <w:b/>
          <w:i w:val="0"/>
          <w:smallCaps w:val="0"/>
          <w:strike w:val="0"/>
          <w:sz w:val="22"/>
          <w:highlight w:val="green"/>
          <w:u w:val="single"/>
        </w:rPr>
        <w:t>indigenous</w:t>
      </w:r>
      <w:r>
        <w:rPr>
          <w:b w:val="0"/>
          <w:i w:val="0"/>
          <w:smallCaps w:val="0"/>
          <w:strike w:val="0"/>
          <w:sz w:val="22"/>
          <w:highlight w:val="green"/>
          <w:u w:val="single"/>
        </w:rPr>
        <w:t xml:space="preserve"> and traditional </w:t>
      </w:r>
      <w:r>
        <w:rPr>
          <w:b/>
          <w:i w:val="0"/>
          <w:smallCaps w:val="0"/>
          <w:strike w:val="0"/>
          <w:sz w:val="22"/>
          <w:highlight w:val="green"/>
          <w:u w:val="single"/>
        </w:rPr>
        <w:t>peoples</w:t>
      </w:r>
      <w:r>
        <w:rPr>
          <w:b w:val="0"/>
          <w:i w:val="0"/>
          <w:smallCaps w:val="0"/>
          <w:strike w:val="0"/>
          <w:sz w:val="22"/>
          <w:u w:val="single"/>
        </w:rPr>
        <w:t xml:space="preserve"> ethos and </w:t>
      </w:r>
      <w:r>
        <w:rPr>
          <w:b/>
          <w:i w:val="0"/>
          <w:smallCaps w:val="0"/>
          <w:strike w:val="0"/>
          <w:sz w:val="22"/>
          <w:u w:val="single"/>
        </w:rPr>
        <w:t>economic</w:t>
      </w:r>
      <w:r>
        <w:rPr>
          <w:b w:val="0"/>
          <w:i w:val="0"/>
          <w:smallCaps w:val="0"/>
          <w:strike w:val="0"/>
          <w:sz w:val="22"/>
          <w:u w:val="single"/>
        </w:rPr>
        <w:t xml:space="preserve"> </w:t>
      </w:r>
      <w:r>
        <w:rPr>
          <w:b w:val="0"/>
          <w:i w:val="0"/>
          <w:smallCaps w:val="0"/>
          <w:strike w:val="0"/>
          <w:sz w:val="22"/>
          <w:highlight w:val="green"/>
          <w:u w:val="single"/>
        </w:rPr>
        <w:t>traditions</w:t>
      </w:r>
      <w:r>
        <w:rPr>
          <w:b w:val="0"/>
          <w:i w:val="0"/>
          <w:smallCaps w:val="0"/>
          <w:strike w:val="0"/>
          <w:sz w:val="16"/>
          <w:u w:val="none"/>
        </w:rPr>
        <w:t xml:space="preserve"> (Farley, 1997‐98). </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