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‘Procedural logics’</w:t>
      </w:r>
      <w:r>
        <w:rPr>
          <w:b/>
          <w:i w:val="0"/>
          <w:smallCaps w:val="0"/>
          <w:strike w:val="0"/>
          <w:sz w:val="26"/>
          <w:u w:val="none"/>
        </w:rPr>
        <w:t xml:space="preserve"> are merely ‘</w:t>
      </w:r>
      <w:r>
        <w:rPr>
          <w:b/>
          <w:i w:val="0"/>
          <w:smallCaps w:val="0"/>
          <w:strike w:val="0"/>
          <w:sz w:val="26"/>
          <w:u w:val="single"/>
        </w:rPr>
        <w:t>procedural rhetorics</w:t>
      </w:r>
      <w:r>
        <w:rPr>
          <w:b/>
          <w:i w:val="0"/>
          <w:smallCaps w:val="0"/>
          <w:strike w:val="0"/>
          <w:sz w:val="26"/>
          <w:u w:val="none"/>
        </w:rPr>
        <w:t>.’</w:t>
      </w:r>
      <w:r>
        <w:rPr>
          <w:b w:val="0"/>
          <w:i w:val="0"/>
          <w:smallCaps w:val="0"/>
          <w:strike w:val="0"/>
          <w:sz w:val="26"/>
          <w:u w:val="none"/>
        </w:rPr>
        <w:t xml:space="preserve"> Ballot </w:t>
      </w:r>
      <w:r>
        <w:rPr>
          <w:b w:val="0"/>
          <w:i w:val="0"/>
          <w:smallCaps w:val="0"/>
          <w:strike w:val="0"/>
          <w:sz w:val="26"/>
          <w:u w:val="single"/>
        </w:rPr>
        <w:t>solves</w:t>
      </w:r>
      <w:r>
        <w:rPr>
          <w:b w:val="0"/>
          <w:i w:val="0"/>
          <w:smallCaps w:val="0"/>
          <w:strike w:val="0"/>
          <w:sz w:val="26"/>
          <w:u w:val="none"/>
        </w:rPr>
        <w:t xml:space="preserve"> our offense---rejecting their </w:t>
      </w:r>
      <w:r>
        <w:rPr>
          <w:b w:val="0"/>
          <w:i w:val="0"/>
          <w:smallCaps w:val="0"/>
          <w:strike w:val="0"/>
          <w:sz w:val="26"/>
          <w:u w:val="single"/>
        </w:rPr>
        <w:t>research</w:t>
      </w:r>
      <w:r>
        <w:rPr>
          <w:b w:val="0"/>
          <w:i w:val="0"/>
          <w:smallCaps w:val="0"/>
          <w:strike w:val="0"/>
          <w:sz w:val="26"/>
          <w:u w:val="none"/>
        </w:rPr>
        <w:t>.</w:t>
      </w:r>
    </w:p>
    <w:p>
      <w:pPr>
        <w:spacing w:after="80"/>
      </w:pPr>
      <w:r>
        <w:rPr>
          <w:b/>
          <w:i w:val="0"/>
          <w:smallCaps w:val="0"/>
          <w:strike w:val="0"/>
          <w:sz w:val="26"/>
          <w:u w:val="none"/>
        </w:rPr>
        <w:t>Alberti ’21</w:t>
      </w:r>
      <w:r>
        <w:rPr>
          <w:b w:val="0"/>
          <w:i w:val="0"/>
          <w:smallCaps w:val="0"/>
          <w:strike w:val="0"/>
          <w:u w:val="none"/>
        </w:rPr>
        <w:t xml:space="preserve"> [John; January 28; Professor of English @ Northern Kentucky University; The Ethics of Playing, Researching, and Teaching Games in the Writing Classroom, “Playing Games with Our Lives: What Critical Pedagogy Can Teach Us About the Ethics of Games in the Writing Classroom,” pp. 77-93]</w:t>
      </w:r>
    </w:p>
    <w:p>
      <w:pPr>
        <w:spacing w:after="60"/>
      </w:pPr>
      <w:r>
        <w:rPr>
          <w:b w:val="0"/>
          <w:i w:val="0"/>
          <w:smallCaps w:val="0"/>
          <w:strike w:val="0"/>
          <w:sz w:val="16"/>
          <w:u w:val="none"/>
        </w:rPr>
        <w:t xml:space="preserve">In redefining “serious” games as “persuasive games,” Ian Bogost (2007) places the </w:t>
      </w:r>
      <w:r>
        <w:rPr>
          <w:b w:val="0"/>
          <w:i w:val="0"/>
          <w:smallCaps w:val="0"/>
          <w:strike w:val="0"/>
          <w:sz w:val="22"/>
          <w:highlight w:val="green"/>
          <w:u w:val="single"/>
        </w:rPr>
        <w:t>ethics</w:t>
      </w:r>
      <w:r>
        <w:rPr>
          <w:b w:val="0"/>
          <w:i w:val="0"/>
          <w:smallCaps w:val="0"/>
          <w:strike w:val="0"/>
          <w:sz w:val="16"/>
          <w:u w:val="none"/>
        </w:rPr>
        <w:t xml:space="preserve"> of gaming front and center and questions the technocratic descriptors that find their way into game studies theory—such as the aforementioned “procedural logics.” Instead, </w:t>
      </w:r>
      <w:r>
        <w:rPr>
          <w:b w:val="0"/>
          <w:i w:val="0"/>
          <w:smallCaps w:val="0"/>
          <w:strike w:val="0"/>
          <w:sz w:val="22"/>
          <w:u w:val="single"/>
        </w:rPr>
        <w:t xml:space="preserve">he </w:t>
      </w:r>
      <w:r>
        <w:rPr>
          <w:b/>
          <w:i w:val="0"/>
          <w:smallCaps w:val="0"/>
          <w:strike w:val="0"/>
          <w:sz w:val="22"/>
          <w:highlight w:val="green"/>
          <w:u w:val="single"/>
        </w:rPr>
        <w:t>exposes</w:t>
      </w:r>
      <w:r>
        <w:rPr>
          <w:b w:val="0"/>
          <w:i w:val="0"/>
          <w:smallCaps w:val="0"/>
          <w:strike w:val="0"/>
          <w:sz w:val="22"/>
          <w:u w:val="single"/>
        </w:rPr>
        <w:t xml:space="preserve"> the seemingly </w:t>
      </w:r>
      <w:r>
        <w:rPr>
          <w:b/>
          <w:i w:val="0"/>
          <w:smallCaps w:val="0"/>
          <w:strike w:val="0"/>
          <w:sz w:val="22"/>
          <w:highlight w:val="green"/>
          <w:u w:val="single"/>
        </w:rPr>
        <w:t>neutrality</w:t>
      </w:r>
      <w:r>
        <w:rPr>
          <w:b w:val="0"/>
          <w:i w:val="0"/>
          <w:smallCaps w:val="0"/>
          <w:strike w:val="0"/>
          <w:sz w:val="22"/>
          <w:highlight w:val="green"/>
          <w:u w:val="single"/>
        </w:rPr>
        <w:t xml:space="preserve"> of “</w:t>
      </w:r>
      <w:r>
        <w:rPr>
          <w:b/>
          <w:i w:val="0"/>
          <w:smallCaps w:val="0"/>
          <w:strike w:val="0"/>
          <w:sz w:val="22"/>
          <w:highlight w:val="green"/>
          <w:u w:val="single"/>
        </w:rPr>
        <w:t>procedural logics</w:t>
      </w:r>
      <w:r>
        <w:rPr>
          <w:b w:val="0"/>
          <w:i w:val="0"/>
          <w:smallCaps w:val="0"/>
          <w:strike w:val="0"/>
          <w:sz w:val="22"/>
          <w:highlight w:val="green"/>
          <w:u w:val="single"/>
        </w:rPr>
        <w:t>” by recasting them as “</w:t>
      </w:r>
      <w:r>
        <w:rPr>
          <w:b/>
          <w:i w:val="0"/>
          <w:smallCaps w:val="0"/>
          <w:strike w:val="0"/>
          <w:sz w:val="22"/>
          <w:highlight w:val="green"/>
          <w:u w:val="single"/>
        </w:rPr>
        <w:t>procedural rhetorics</w:t>
      </w:r>
      <w:r>
        <w:rPr>
          <w:b w:val="0"/>
          <w:i w:val="0"/>
          <w:smallCaps w:val="0"/>
          <w:strike w:val="0"/>
          <w:sz w:val="22"/>
          <w:highlight w:val="green"/>
          <w:u w:val="single"/>
        </w:rPr>
        <w:t>.”</w:t>
      </w:r>
      <w:r>
        <w:rPr>
          <w:b w:val="0"/>
          <w:i w:val="0"/>
          <w:smallCaps w:val="0"/>
          <w:strike w:val="0"/>
          <w:sz w:val="16"/>
          <w:u w:val="none"/>
        </w:rPr>
        <w:t xml:space="preserve"> As with Gee (2004), Bogost’s (2007) ultimate goals recall Freire (1990): “I argue that video</w:t>
      </w:r>
      <w:r>
        <w:rPr>
          <w:b w:val="0"/>
          <w:i w:val="0"/>
          <w:smallCaps w:val="0"/>
          <w:strike w:val="0"/>
          <w:sz w:val="22"/>
          <w:u w:val="single"/>
        </w:rPr>
        <w:t xml:space="preserve">games’ </w:t>
      </w:r>
      <w:r>
        <w:rPr>
          <w:b/>
          <w:i w:val="0"/>
          <w:smallCaps w:val="0"/>
          <w:strike w:val="0"/>
          <w:sz w:val="22"/>
          <w:highlight w:val="green"/>
          <w:u w:val="single"/>
        </w:rPr>
        <w:t>usefulness</w:t>
      </w:r>
      <w:r>
        <w:rPr>
          <w:b w:val="0"/>
          <w:i w:val="0"/>
          <w:smallCaps w:val="0"/>
          <w:strike w:val="0"/>
          <w:sz w:val="22"/>
          <w:highlight w:val="green"/>
          <w:u w:val="single"/>
        </w:rPr>
        <w:t xml:space="preserve"> comes not from</w:t>
      </w:r>
      <w:r>
        <w:rPr>
          <w:b w:val="0"/>
          <w:i w:val="0"/>
          <w:smallCaps w:val="0"/>
          <w:strike w:val="0"/>
          <w:sz w:val="22"/>
          <w:u w:val="single"/>
        </w:rPr>
        <w:t xml:space="preserve"> a capacity to </w:t>
      </w:r>
      <w:r>
        <w:rPr>
          <w:b/>
          <w:i w:val="0"/>
          <w:smallCaps w:val="0"/>
          <w:strike w:val="0"/>
          <w:sz w:val="22"/>
          <w:highlight w:val="green"/>
          <w:u w:val="single"/>
        </w:rPr>
        <w:t>transfer</w:t>
      </w:r>
      <w:r>
        <w:rPr>
          <w:b w:val="0"/>
          <w:i w:val="0"/>
          <w:smallCaps w:val="0"/>
          <w:strike w:val="0"/>
          <w:sz w:val="16"/>
          <w:u w:val="none"/>
        </w:rPr>
        <w:t xml:space="preserve"> social or workplace </w:t>
      </w:r>
      <w:r>
        <w:rPr>
          <w:b/>
          <w:i w:val="0"/>
          <w:smallCaps w:val="0"/>
          <w:strike w:val="0"/>
          <w:sz w:val="22"/>
          <w:highlight w:val="green"/>
          <w:u w:val="single"/>
        </w:rPr>
        <w:t>skills</w:t>
      </w:r>
      <w:r>
        <w:rPr>
          <w:b w:val="0"/>
          <w:i w:val="0"/>
          <w:smallCaps w:val="0"/>
          <w:strike w:val="0"/>
          <w:sz w:val="22"/>
          <w:highlight w:val="green"/>
          <w:u w:val="single"/>
        </w:rPr>
        <w:t>, but</w:t>
      </w:r>
      <w:r>
        <w:rPr>
          <w:b w:val="0"/>
          <w:i w:val="0"/>
          <w:smallCaps w:val="0"/>
          <w:strike w:val="0"/>
          <w:sz w:val="16"/>
          <w:u w:val="none"/>
        </w:rPr>
        <w:t xml:space="preserve"> rather from </w:t>
      </w:r>
      <w:r>
        <w:rPr>
          <w:b w:val="0"/>
          <w:i w:val="0"/>
          <w:smallCaps w:val="0"/>
          <w:strike w:val="0"/>
          <w:sz w:val="22"/>
          <w:u w:val="single"/>
        </w:rPr>
        <w:t>their capacity to give consumers</w:t>
      </w:r>
      <w:r>
        <w:rPr>
          <w:b w:val="0"/>
          <w:i w:val="0"/>
          <w:smallCaps w:val="0"/>
          <w:strike w:val="0"/>
          <w:sz w:val="16"/>
          <w:u w:val="none"/>
        </w:rPr>
        <w:t xml:space="preserve"> and workers </w:t>
      </w:r>
      <w:r>
        <w:rPr>
          <w:b w:val="0"/>
          <w:i w:val="0"/>
          <w:smallCaps w:val="0"/>
          <w:strike w:val="0"/>
          <w:sz w:val="22"/>
          <w:highlight w:val="green"/>
          <w:u w:val="single"/>
        </w:rPr>
        <w:t xml:space="preserve">a </w:t>
      </w:r>
      <w:r>
        <w:rPr>
          <w:b/>
          <w:i w:val="0"/>
          <w:smallCaps w:val="0"/>
          <w:strike w:val="0"/>
          <w:sz w:val="22"/>
          <w:highlight w:val="green"/>
          <w:u w:val="single"/>
        </w:rPr>
        <w:t>means</w:t>
      </w:r>
      <w:r>
        <w:rPr>
          <w:b w:val="0"/>
          <w:i w:val="0"/>
          <w:smallCaps w:val="0"/>
          <w:strike w:val="0"/>
          <w:sz w:val="22"/>
          <w:highlight w:val="green"/>
          <w:u w:val="single"/>
        </w:rPr>
        <w:t xml:space="preserve"> to </w:t>
      </w:r>
      <w:r>
        <w:rPr>
          <w:b/>
          <w:i w:val="0"/>
          <w:smallCaps w:val="0"/>
          <w:strike w:val="0"/>
          <w:sz w:val="22"/>
          <w:highlight w:val="green"/>
          <w:u w:val="single"/>
        </w:rPr>
        <w:t>critique</w:t>
      </w:r>
      <w:r>
        <w:rPr>
          <w:b w:val="0"/>
          <w:i w:val="0"/>
          <w:smallCaps w:val="0"/>
          <w:strike w:val="0"/>
          <w:sz w:val="16"/>
          <w:u w:val="none"/>
        </w:rPr>
        <w:t xml:space="preserve"> business, social, and </w:t>
      </w:r>
      <w:r>
        <w:rPr>
          <w:b w:val="0"/>
          <w:i w:val="0"/>
          <w:smallCaps w:val="0"/>
          <w:strike w:val="0"/>
          <w:sz w:val="22"/>
          <w:highlight w:val="green"/>
          <w:u w:val="single"/>
        </w:rPr>
        <w:t xml:space="preserve">moral </w:t>
      </w:r>
      <w:r>
        <w:rPr>
          <w:b/>
          <w:i w:val="0"/>
          <w:smallCaps w:val="0"/>
          <w:strike w:val="0"/>
          <w:sz w:val="22"/>
          <w:highlight w:val="green"/>
          <w:u w:val="single"/>
        </w:rPr>
        <w:t>principles</w:t>
      </w:r>
      <w:r>
        <w:rPr>
          <w:b w:val="0"/>
          <w:i w:val="0"/>
          <w:smallCaps w:val="0"/>
          <w:strike w:val="0"/>
          <w:sz w:val="16"/>
          <w:u w:val="none"/>
        </w:rPr>
        <w:t xml:space="preserve">” (p. x). Yannuzzi and Behrenshausen (2010) likewise see a Freirean potential for understanding </w:t>
      </w:r>
      <w:r>
        <w:rPr>
          <w:b w:val="0"/>
          <w:i w:val="0"/>
          <w:smallCaps w:val="0"/>
          <w:strike w:val="0"/>
          <w:sz w:val="22"/>
          <w:u w:val="single"/>
        </w:rPr>
        <w:t xml:space="preserve">the potential of </w:t>
      </w:r>
      <w:r>
        <w:rPr>
          <w:b/>
          <w:i w:val="0"/>
          <w:smallCaps w:val="0"/>
          <w:strike w:val="0"/>
          <w:sz w:val="22"/>
          <w:u w:val="single"/>
        </w:rPr>
        <w:t>gaming</w:t>
      </w:r>
      <w:r>
        <w:rPr>
          <w:b w:val="0"/>
          <w:i w:val="0"/>
          <w:smallCaps w:val="0"/>
          <w:strike w:val="0"/>
          <w:sz w:val="22"/>
          <w:u w:val="single"/>
        </w:rPr>
        <w:t xml:space="preserve"> as radical </w:t>
      </w:r>
      <w:r>
        <w:rPr>
          <w:b/>
          <w:i w:val="0"/>
          <w:smallCaps w:val="0"/>
          <w:strike w:val="0"/>
          <w:sz w:val="22"/>
          <w:u w:val="single"/>
        </w:rPr>
        <w:t>critique</w:t>
      </w:r>
    </w:p>
    <w:p>
      <w:pPr>
        <w:spacing w:after="60"/>
      </w:pPr>
      <w:r>
        <w:rPr>
          <w:b w:val="0"/>
          <w:i w:val="0"/>
          <w:smallCaps w:val="0"/>
          <w:strike w:val="0"/>
          <w:sz w:val="22"/>
          <w:u w:val="single"/>
        </w:rPr>
        <w:t>as “</w:t>
      </w:r>
      <w:r>
        <w:rPr>
          <w:b/>
          <w:i w:val="0"/>
          <w:smallCaps w:val="0"/>
          <w:strike w:val="0"/>
          <w:sz w:val="22"/>
          <w:u w:val="single"/>
        </w:rPr>
        <w:t>sites of fun</w:t>
      </w:r>
      <w:r>
        <w:rPr>
          <w:b w:val="0"/>
          <w:i w:val="0"/>
          <w:smallCaps w:val="0"/>
          <w:strike w:val="0"/>
          <w:sz w:val="22"/>
          <w:u w:val="single"/>
        </w:rPr>
        <w:t>,”</w:t>
      </w:r>
      <w:r>
        <w:rPr>
          <w:b w:val="0"/>
          <w:i w:val="0"/>
          <w:smallCaps w:val="0"/>
          <w:strike w:val="0"/>
          <w:sz w:val="16"/>
          <w:u w:val="none"/>
        </w:rPr>
        <w:t xml:space="preserve"> video games present an opportunity </w:t>
      </w:r>
      <w:r>
        <w:rPr>
          <w:b w:val="0"/>
          <w:i w:val="0"/>
          <w:smallCaps w:val="0"/>
          <w:strike w:val="0"/>
          <w:sz w:val="22"/>
          <w:u w:val="single"/>
        </w:rPr>
        <w:t xml:space="preserve">for the </w:t>
      </w:r>
      <w:r>
        <w:rPr>
          <w:b/>
          <w:i w:val="0"/>
          <w:smallCaps w:val="0"/>
          <w:strike w:val="0"/>
          <w:sz w:val="22"/>
          <w:highlight w:val="green"/>
          <w:u w:val="single"/>
        </w:rPr>
        <w:t>playful negotiation</w:t>
      </w:r>
      <w:r>
        <w:rPr>
          <w:b w:val="0"/>
          <w:i w:val="0"/>
          <w:smallCaps w:val="0"/>
          <w:strike w:val="0"/>
          <w:sz w:val="22"/>
          <w:highlight w:val="green"/>
          <w:u w:val="single"/>
        </w:rPr>
        <w:t xml:space="preserve"> of their </w:t>
      </w:r>
      <w:r>
        <w:rPr>
          <w:b/>
          <w:i w:val="0"/>
          <w:smallCaps w:val="0"/>
          <w:strike w:val="0"/>
          <w:sz w:val="22"/>
          <w:highlight w:val="green"/>
          <w:u w:val="single"/>
        </w:rPr>
        <w:t>logics</w:t>
      </w:r>
      <w:r>
        <w:rPr>
          <w:b w:val="0"/>
          <w:i w:val="0"/>
          <w:smallCaps w:val="0"/>
          <w:strike w:val="0"/>
          <w:sz w:val="16"/>
          <w:u w:val="none"/>
        </w:rPr>
        <w:t xml:space="preserve">. Here exists exploration, reiteration, arbitration, and deprecation </w:t>
      </w:r>
      <w:r>
        <w:rPr>
          <w:b w:val="0"/>
          <w:i w:val="0"/>
          <w:smallCaps w:val="0"/>
          <w:strike w:val="0"/>
          <w:sz w:val="22"/>
          <w:u w:val="single"/>
        </w:rPr>
        <w:t>as players probe rules, test boundaries.</w:t>
      </w:r>
      <w:r>
        <w:rPr>
          <w:b w:val="0"/>
          <w:i w:val="0"/>
          <w:smallCaps w:val="0"/>
          <w:strike w:val="0"/>
          <w:sz w:val="16"/>
          <w:u w:val="none"/>
        </w:rPr>
        <w:t xml:space="preserve"> To play video games is to toy with codes, to structurate. (p. 88)</w:t>
      </w:r>
    </w:p>
    <w:p>
      <w:pPr>
        <w:spacing w:after="60"/>
      </w:pPr>
      <w:r>
        <w:rPr>
          <w:b w:val="0"/>
          <w:i w:val="0"/>
          <w:smallCaps w:val="0"/>
          <w:strike w:val="0"/>
          <w:sz w:val="16"/>
          <w:u w:val="none"/>
        </w:rPr>
        <w:t xml:space="preserve">The phrase “to toy with codes” brings in the radical potential of fun and play in gaming theory as forms of ideological critique with what can seem the more austere approach of classical radical pedagogy in ways that recall Bakhtin’s (1984) idea of the “carnivalesque.” In less grand theoretical terms, “sites of fun” describes the anarchic impulse literally at play in our high school learning game. </w:t>
      </w:r>
      <w:r>
        <w:rPr>
          <w:b w:val="0"/>
          <w:i w:val="0"/>
          <w:smallCaps w:val="0"/>
          <w:strike w:val="0"/>
          <w:sz w:val="22"/>
          <w:u w:val="single"/>
        </w:rPr>
        <w:t>As we learned the “</w:t>
      </w:r>
      <w:r>
        <w:rPr>
          <w:b/>
          <w:i w:val="0"/>
          <w:smallCaps w:val="0"/>
          <w:strike w:val="0"/>
          <w:sz w:val="22"/>
          <w:highlight w:val="green"/>
          <w:u w:val="single"/>
        </w:rPr>
        <w:t>rules</w:t>
      </w:r>
      <w:r>
        <w:rPr>
          <w:b w:val="0"/>
          <w:i w:val="0"/>
          <w:smallCaps w:val="0"/>
          <w:strike w:val="0"/>
          <w:sz w:val="22"/>
          <w:u w:val="single"/>
        </w:rPr>
        <w:t>”</w:t>
      </w:r>
      <w:r>
        <w:rPr>
          <w:b w:val="0"/>
          <w:i w:val="0"/>
          <w:smallCaps w:val="0"/>
          <w:strike w:val="0"/>
          <w:sz w:val="16"/>
          <w:u w:val="none"/>
        </w:rPr>
        <w:t xml:space="preserve"> of the stock market game, </w:t>
      </w:r>
      <w:r>
        <w:rPr>
          <w:b w:val="0"/>
          <w:i w:val="0"/>
          <w:smallCaps w:val="0"/>
          <w:strike w:val="0"/>
          <w:sz w:val="22"/>
          <w:u w:val="single"/>
        </w:rPr>
        <w:t xml:space="preserve">we simultaneously </w:t>
      </w:r>
      <w:r>
        <w:rPr>
          <w:b/>
          <w:i w:val="0"/>
          <w:smallCaps w:val="0"/>
          <w:strike w:val="0"/>
          <w:sz w:val="22"/>
          <w:highlight w:val="green"/>
          <w:u w:val="single"/>
        </w:rPr>
        <w:t>recognized</w:t>
      </w:r>
      <w:r>
        <w:rPr>
          <w:b w:val="0"/>
          <w:i w:val="0"/>
          <w:smallCaps w:val="0"/>
          <w:strike w:val="0"/>
          <w:sz w:val="22"/>
          <w:u w:val="single"/>
        </w:rPr>
        <w:t xml:space="preserve"> them </w:t>
      </w:r>
      <w:r>
        <w:rPr>
          <w:b w:val="0"/>
          <w:i w:val="0"/>
          <w:smallCaps w:val="0"/>
          <w:strike w:val="0"/>
          <w:sz w:val="22"/>
          <w:highlight w:val="green"/>
          <w:u w:val="single"/>
        </w:rPr>
        <w:t>as</w:t>
      </w:r>
      <w:r>
        <w:rPr>
          <w:b w:val="0"/>
          <w:i w:val="0"/>
          <w:smallCaps w:val="0"/>
          <w:strike w:val="0"/>
          <w:sz w:val="16"/>
          <w:u w:val="none"/>
        </w:rPr>
        <w:t xml:space="preserve"> just that: the rules of a game, </w:t>
      </w:r>
      <w:r>
        <w:rPr>
          <w:b/>
          <w:i w:val="0"/>
          <w:smallCaps w:val="0"/>
          <w:strike w:val="0"/>
          <w:sz w:val="22"/>
          <w:highlight w:val="green"/>
          <w:u w:val="single"/>
        </w:rPr>
        <w:t>contingent</w:t>
      </w:r>
      <w:r>
        <w:rPr>
          <w:b w:val="0"/>
          <w:i w:val="0"/>
          <w:smallCaps w:val="0"/>
          <w:strike w:val="0"/>
          <w:sz w:val="22"/>
          <w:highlight w:val="green"/>
          <w:u w:val="single"/>
        </w:rPr>
        <w:t xml:space="preserve"> rather than </w:t>
      </w:r>
      <w:r>
        <w:rPr>
          <w:b/>
          <w:i w:val="0"/>
          <w:smallCaps w:val="0"/>
          <w:strike w:val="0"/>
          <w:sz w:val="22"/>
          <w:highlight w:val="green"/>
          <w:u w:val="single"/>
        </w:rPr>
        <w:t>absolute</w:t>
      </w:r>
      <w:r>
        <w:rPr>
          <w:b w:val="0"/>
          <w:i w:val="0"/>
          <w:smallCaps w:val="0"/>
          <w:strike w:val="0"/>
          <w:sz w:val="22"/>
          <w:highlight w:val="green"/>
          <w:u w:val="single"/>
        </w:rPr>
        <w:t>.</w:t>
      </w:r>
      <w:r>
        <w:rPr>
          <w:b w:val="0"/>
          <w:i w:val="0"/>
          <w:smallCaps w:val="0"/>
          <w:strike w:val="0"/>
          <w:sz w:val="16"/>
          <w:u w:val="none"/>
        </w:rPr>
        <w:t xml:space="preserve"> In popular terms, this is the strategy of Bart Simpson, the class clown whose “misbehavior,” or </w:t>
      </w:r>
      <w:r>
        <w:rPr>
          <w:b/>
          <w:i w:val="0"/>
          <w:smallCaps w:val="0"/>
          <w:strike w:val="0"/>
          <w:sz w:val="22"/>
          <w:highlight w:val="green"/>
          <w:u w:val="single"/>
        </w:rPr>
        <w:t>refusal</w:t>
      </w:r>
      <w:r>
        <w:rPr>
          <w:b w:val="0"/>
          <w:i w:val="0"/>
          <w:smallCaps w:val="0"/>
          <w:strike w:val="0"/>
          <w:sz w:val="22"/>
          <w:highlight w:val="green"/>
          <w:u w:val="single"/>
        </w:rPr>
        <w:t xml:space="preserve"> to </w:t>
      </w:r>
      <w:r>
        <w:rPr>
          <w:b/>
          <w:i w:val="0"/>
          <w:smallCaps w:val="0"/>
          <w:strike w:val="0"/>
          <w:sz w:val="22"/>
          <w:highlight w:val="green"/>
          <w:u w:val="single"/>
        </w:rPr>
        <w:t>play</w:t>
      </w:r>
      <w:r>
        <w:rPr>
          <w:b w:val="0"/>
          <w:i w:val="0"/>
          <w:smallCaps w:val="0"/>
          <w:strike w:val="0"/>
          <w:sz w:val="22"/>
          <w:u w:val="single"/>
        </w:rPr>
        <w:t xml:space="preserve"> the game </w:t>
      </w:r>
      <w:r>
        <w:rPr>
          <w:b w:val="0"/>
          <w:i w:val="0"/>
          <w:smallCaps w:val="0"/>
          <w:strike w:val="0"/>
          <w:sz w:val="22"/>
          <w:highlight w:val="green"/>
          <w:u w:val="single"/>
        </w:rPr>
        <w:t xml:space="preserve">according to </w:t>
      </w:r>
      <w:r>
        <w:rPr>
          <w:b/>
          <w:i w:val="0"/>
          <w:smallCaps w:val="0"/>
          <w:strike w:val="0"/>
          <w:sz w:val="22"/>
          <w:highlight w:val="green"/>
          <w:u w:val="single"/>
        </w:rPr>
        <w:t>the rules</w:t>
      </w:r>
      <w:r>
        <w:rPr>
          <w:b w:val="0"/>
          <w:i w:val="0"/>
          <w:smallCaps w:val="0"/>
          <w:strike w:val="0"/>
          <w:sz w:val="22"/>
          <w:highlight w:val="green"/>
          <w:u w:val="single"/>
        </w:rPr>
        <w:t>, offers</w:t>
      </w:r>
      <w:r>
        <w:rPr>
          <w:b w:val="0"/>
          <w:i w:val="0"/>
          <w:smallCaps w:val="0"/>
          <w:strike w:val="0"/>
          <w:sz w:val="22"/>
          <w:u w:val="single"/>
        </w:rPr>
        <w:t xml:space="preserve"> a </w:t>
      </w:r>
      <w:r>
        <w:rPr>
          <w:b w:val="0"/>
          <w:i w:val="0"/>
          <w:smallCaps w:val="0"/>
          <w:strike w:val="0"/>
          <w:sz w:val="22"/>
          <w:highlight w:val="green"/>
          <w:u w:val="single"/>
        </w:rPr>
        <w:t xml:space="preserve">radical </w:t>
      </w:r>
      <w:r>
        <w:rPr>
          <w:b/>
          <w:i w:val="0"/>
          <w:smallCaps w:val="0"/>
          <w:strike w:val="0"/>
          <w:sz w:val="22"/>
          <w:highlight w:val="green"/>
          <w:u w:val="single"/>
        </w:rPr>
        <w:t>challenge</w:t>
      </w:r>
      <w:r>
        <w:rPr>
          <w:b w:val="0"/>
          <w:i w:val="0"/>
          <w:smallCaps w:val="0"/>
          <w:strike w:val="0"/>
          <w:sz w:val="22"/>
          <w:highlight w:val="green"/>
          <w:u w:val="single"/>
        </w:rPr>
        <w:t xml:space="preserve"> to</w:t>
      </w:r>
      <w:r>
        <w:rPr>
          <w:b w:val="0"/>
          <w:i w:val="0"/>
          <w:smallCaps w:val="0"/>
          <w:strike w:val="0"/>
          <w:sz w:val="22"/>
          <w:u w:val="single"/>
        </w:rPr>
        <w:t xml:space="preserve"> the </w:t>
      </w:r>
      <w:r>
        <w:rPr>
          <w:b/>
          <w:i w:val="0"/>
          <w:smallCaps w:val="0"/>
          <w:strike w:val="0"/>
          <w:sz w:val="22"/>
          <w:highlight w:val="green"/>
          <w:u w:val="single"/>
        </w:rPr>
        <w:t>rules</w:t>
      </w:r>
      <w:r>
        <w:rPr>
          <w:b w:val="0"/>
          <w:i w:val="0"/>
          <w:smallCaps w:val="0"/>
          <w:strike w:val="0"/>
          <w:sz w:val="22"/>
          <w:u w:val="single"/>
        </w:rPr>
        <w:t xml:space="preserve"> of the “</w:t>
      </w:r>
      <w:r>
        <w:rPr>
          <w:b/>
          <w:i w:val="0"/>
          <w:smallCaps w:val="0"/>
          <w:strike w:val="0"/>
          <w:sz w:val="22"/>
          <w:u w:val="single"/>
        </w:rPr>
        <w:t>serious game</w:t>
      </w:r>
      <w:r>
        <w:rPr>
          <w:b w:val="0"/>
          <w:i w:val="0"/>
          <w:smallCaps w:val="0"/>
          <w:strike w:val="0"/>
          <w:sz w:val="22"/>
          <w:u w:val="single"/>
        </w:rPr>
        <w:t xml:space="preserve">” </w:t>
      </w:r>
      <w:r>
        <w:rPr>
          <w:b w:val="0"/>
          <w:i w:val="0"/>
          <w:smallCaps w:val="0"/>
          <w:strike w:val="0"/>
          <w:sz w:val="22"/>
          <w:highlight w:val="green"/>
          <w:u w:val="single"/>
        </w:rPr>
        <w:t xml:space="preserve">of </w:t>
      </w:r>
      <w:r>
        <w:rPr>
          <w:b/>
          <w:i w:val="0"/>
          <w:smallCaps w:val="0"/>
          <w:strike w:val="0"/>
          <w:sz w:val="22"/>
          <w:highlight w:val="green"/>
          <w:u w:val="single"/>
        </w:rPr>
        <w:t>formal education</w:t>
      </w:r>
      <w:r>
        <w:rPr>
          <w:b w:val="0"/>
          <w:i w:val="0"/>
          <w:smallCaps w:val="0"/>
          <w:strike w:val="0"/>
          <w:sz w:val="22"/>
          <w:highlight w:val="green"/>
          <w:u w:val="single"/>
        </w:rPr>
        <w:t>.</w:t>
      </w:r>
      <w:r>
        <w:rPr>
          <w:b w:val="0"/>
          <w:i w:val="0"/>
          <w:smallCaps w:val="0"/>
          <w:strike w:val="0"/>
          <w:sz w:val="16"/>
          <w:u w:val="none"/>
        </w:rPr>
        <w:t xml:space="preserve"> More theoretically, </w:t>
      </w:r>
      <w:r>
        <w:rPr>
          <w:b w:val="0"/>
          <w:i w:val="0"/>
          <w:smallCaps w:val="0"/>
          <w:strike w:val="0"/>
          <w:sz w:val="22"/>
          <w:highlight w:val="green"/>
          <w:u w:val="single"/>
        </w:rPr>
        <w:t>this</w:t>
      </w:r>
      <w:r>
        <w:rPr>
          <w:b w:val="0"/>
          <w:i w:val="0"/>
          <w:smallCaps w:val="0"/>
          <w:strike w:val="0"/>
          <w:sz w:val="22"/>
          <w:u w:val="single"/>
        </w:rPr>
        <w:t xml:space="preserve"> liminal space </w:t>
      </w:r>
      <w:r>
        <w:rPr>
          <w:b/>
          <w:i w:val="0"/>
          <w:smallCaps w:val="0"/>
          <w:strike w:val="0"/>
          <w:sz w:val="22"/>
          <w:highlight w:val="green"/>
          <w:u w:val="single"/>
        </w:rPr>
        <w:t>defines</w:t>
      </w:r>
      <w:r>
        <w:rPr>
          <w:b w:val="0"/>
          <w:i w:val="0"/>
          <w:smallCaps w:val="0"/>
          <w:strike w:val="0"/>
          <w:sz w:val="16"/>
          <w:u w:val="none"/>
        </w:rPr>
        <w:t xml:space="preserve"> what Mark Taylor (2001) calls “</w:t>
      </w:r>
      <w:r>
        <w:rPr>
          <w:b w:val="0"/>
          <w:i w:val="0"/>
          <w:smallCaps w:val="0"/>
          <w:strike w:val="0"/>
          <w:sz w:val="22"/>
          <w:highlight w:val="green"/>
          <w:u w:val="single"/>
        </w:rPr>
        <w:t xml:space="preserve">the </w:t>
      </w:r>
      <w:r>
        <w:rPr>
          <w:b/>
          <w:i w:val="0"/>
          <w:smallCaps w:val="0"/>
          <w:strike w:val="0"/>
          <w:sz w:val="22"/>
          <w:highlight w:val="green"/>
          <w:u w:val="single"/>
        </w:rPr>
        <w:t>edge</w:t>
      </w:r>
      <w:r>
        <w:rPr>
          <w:b w:val="0"/>
          <w:i w:val="0"/>
          <w:smallCaps w:val="0"/>
          <w:strike w:val="0"/>
          <w:sz w:val="22"/>
          <w:highlight w:val="green"/>
          <w:u w:val="single"/>
        </w:rPr>
        <w:t xml:space="preserve"> of </w:t>
      </w:r>
      <w:r>
        <w:rPr>
          <w:b/>
          <w:i w:val="0"/>
          <w:smallCaps w:val="0"/>
          <w:strike w:val="0"/>
          <w:sz w:val="22"/>
          <w:highlight w:val="green"/>
          <w:u w:val="single"/>
        </w:rPr>
        <w:t>chaos</w:t>
      </w:r>
      <w:r>
        <w:rPr>
          <w:b w:val="0"/>
          <w:i w:val="0"/>
          <w:smallCaps w:val="0"/>
          <w:strike w:val="0"/>
          <w:sz w:val="16"/>
          <w:u w:val="none"/>
        </w:rPr>
        <w:t>,” or “</w:t>
      </w:r>
      <w:r>
        <w:rPr>
          <w:b w:val="0"/>
          <w:i w:val="0"/>
          <w:smallCaps w:val="0"/>
          <w:strike w:val="0"/>
          <w:sz w:val="22"/>
          <w:u w:val="single"/>
        </w:rPr>
        <w:t xml:space="preserve">the </w:t>
      </w:r>
      <w:r>
        <w:rPr>
          <w:b/>
          <w:i w:val="0"/>
          <w:smallCaps w:val="0"/>
          <w:strike w:val="0"/>
          <w:sz w:val="22"/>
          <w:u w:val="single"/>
        </w:rPr>
        <w:t>interplay</w:t>
      </w:r>
      <w:r>
        <w:rPr>
          <w:b w:val="0"/>
          <w:i w:val="0"/>
          <w:smallCaps w:val="0"/>
          <w:strike w:val="0"/>
          <w:sz w:val="22"/>
          <w:u w:val="single"/>
        </w:rPr>
        <w:t xml:space="preserve"> between </w:t>
      </w:r>
      <w:r>
        <w:rPr>
          <w:b/>
          <w:i w:val="0"/>
          <w:smallCaps w:val="0"/>
          <w:strike w:val="0"/>
          <w:sz w:val="22"/>
          <w:u w:val="single"/>
        </w:rPr>
        <w:t>order</w:t>
      </w:r>
      <w:r>
        <w:rPr>
          <w:b w:val="0"/>
          <w:i w:val="0"/>
          <w:smallCaps w:val="0"/>
          <w:strike w:val="0"/>
          <w:sz w:val="22"/>
          <w:u w:val="single"/>
        </w:rPr>
        <w:t xml:space="preserve"> and </w:t>
      </w:r>
      <w:r>
        <w:rPr>
          <w:b/>
          <w:i w:val="0"/>
          <w:smallCaps w:val="0"/>
          <w:strike w:val="0"/>
          <w:sz w:val="22"/>
          <w:u w:val="single"/>
        </w:rPr>
        <w:t>chaos</w:t>
      </w:r>
      <w:r>
        <w:rPr>
          <w:b w:val="0"/>
          <w:i w:val="0"/>
          <w:smallCaps w:val="0"/>
          <w:strike w:val="0"/>
          <w:sz w:val="22"/>
          <w:u w:val="single"/>
        </w:rPr>
        <w:t xml:space="preserve"> at work </w:t>
      </w:r>
      <w:r>
        <w:rPr>
          <w:b w:val="0"/>
          <w:i w:val="0"/>
          <w:smallCaps w:val="0"/>
          <w:strike w:val="0"/>
          <w:sz w:val="22"/>
          <w:highlight w:val="green"/>
          <w:u w:val="single"/>
        </w:rPr>
        <w:t>in</w:t>
      </w:r>
      <w:r>
        <w:rPr>
          <w:b w:val="0"/>
          <w:i w:val="0"/>
          <w:smallCaps w:val="0"/>
          <w:strike w:val="0"/>
          <w:sz w:val="22"/>
          <w:u w:val="single"/>
        </w:rPr>
        <w:t xml:space="preserve"> </w:t>
      </w:r>
      <w:r>
        <w:rPr>
          <w:b/>
          <w:i w:val="0"/>
          <w:smallCaps w:val="0"/>
          <w:strike w:val="0"/>
          <w:sz w:val="22"/>
          <w:highlight w:val="green"/>
          <w:u w:val="single"/>
        </w:rPr>
        <w:t>dissipative</w:t>
      </w:r>
      <w:r>
        <w:rPr>
          <w:b w:val="0"/>
          <w:i w:val="0"/>
          <w:smallCaps w:val="0"/>
          <w:strike w:val="0"/>
          <w:sz w:val="22"/>
          <w:highlight w:val="green"/>
          <w:u w:val="single"/>
        </w:rPr>
        <w:t xml:space="preserve"> structures</w:t>
      </w:r>
      <w:r>
        <w:rPr>
          <w:b w:val="0"/>
          <w:i w:val="0"/>
          <w:smallCaps w:val="0"/>
          <w:strike w:val="0"/>
          <w:sz w:val="16"/>
          <w:u w:val="none"/>
        </w:rPr>
        <w:t>” (p. 121).</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