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Strengthening IPR excludes making it more “socially beneficial”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Mandel ’18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[Gregory N.; January; Dean &amp; Peter J. Liacouras Professor of Law, Temple University; Minnesota Law Review, “Institutional Fracture in Intellectual Property Law: The Supreme Court Versus Congress,” 102:803]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Recent legislative and judicial actions concerning intellectual property law reveal several stark trends. Congress has been remarkably hospitable to stronger intellectual property rights. Congress passed forty-three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intellectual property 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during the </w:t>
      </w:r>
      <w:r>
        <w:rPr>
          <w:b w:val="0"/>
          <w:i w:val="0"/>
          <w:smallCaps w:val="0"/>
          <w:strike w:val="0"/>
          <w:sz w:val="16"/>
          <w:u w:val="none"/>
        </w:rPr>
        <w:t>time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question. Of those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that affected the substantive strength of 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over 80% made rights stronger.1 These laws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made it easier to acquire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intellectual property rights,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broadened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scope of protection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strengthened enforcement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Supreme Court’s intellectual property jurisprudence, however, has moved largely in the opposite direction. The Court decided forty-four intellectual property cases from the October 2002–2003 Term through the October 2015–2016 Term, and of those that substantively affected the extent of rights, two-thirds weakened protection. </w:t>
      </w:r>
    </w:p>
    <w:p>
      <w:pPr>
        <w:spacing w:after="60"/>
      </w:pPr>
      <w:r>
        <w:rPr>
          <w:b/>
          <w:i w:val="0"/>
          <w:smallCaps w:val="0"/>
          <w:strike w:val="0"/>
          <w:sz w:val="16"/>
          <w:u w:val="none"/>
        </w:rPr>
        <w:t>Footnote 1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1. The use of the terms “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stronger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and “weaker”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refers solely to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strength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(or weakness)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ights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from the perspective 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intellectual property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rights owner.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These terms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do not indicate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that a given law is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or less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socially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beneficial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