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The affirmative is </w:t>
      </w:r>
      <w:r>
        <w:rPr>
          <w:b/>
          <w:i w:val="0"/>
          <w:smallCaps w:val="0"/>
          <w:strike w:val="0"/>
          <w:sz w:val="24"/>
          <w:u w:val="single"/>
        </w:rPr>
        <w:t>faux radicalism</w:t>
      </w:r>
      <w:r>
        <w:rPr>
          <w:b/>
          <w:i w:val="0"/>
          <w:smallCaps w:val="0"/>
          <w:strike w:val="0"/>
          <w:sz w:val="24"/>
          <w:u w:val="none"/>
        </w:rPr>
        <w:t xml:space="preserve">. It still relies on property, ownership, and commodification. Those </w:t>
      </w:r>
      <w:r>
        <w:rPr>
          <w:b/>
          <w:i w:val="0"/>
          <w:smallCaps w:val="0"/>
          <w:strike w:val="0"/>
          <w:sz w:val="24"/>
          <w:u w:val="single"/>
        </w:rPr>
        <w:t>discursive endorsements</w:t>
      </w:r>
      <w:r>
        <w:rPr>
          <w:b/>
          <w:i w:val="0"/>
          <w:smallCaps w:val="0"/>
          <w:strike w:val="0"/>
          <w:sz w:val="24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u w:val="none"/>
        </w:rPr>
        <w:t xml:space="preserve">facilitate </w:t>
      </w:r>
      <w:r>
        <w:rPr>
          <w:b/>
          <w:i w:val="0"/>
          <w:smallCaps w:val="0"/>
          <w:strike w:val="0"/>
          <w:sz w:val="24"/>
          <w:u w:val="none"/>
        </w:rPr>
        <w:t>the colonial imposition of neoliberalism globally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>McGillivray 17</w:t>
      </w:r>
      <w:r>
        <w:rPr>
          <w:b w:val="0"/>
          <w:i w:val="0"/>
          <w:smallCaps w:val="0"/>
          <w:strike w:val="0"/>
          <w:sz w:val="16"/>
          <w:u w:val="none"/>
        </w:rPr>
        <w:t>, PhD in Philosophy (James, “'</w:t>
      </w:r>
      <w:r>
        <w:rPr>
          <w:b w:val="0"/>
          <w:i w:val="0"/>
          <w:smallCaps w:val="0"/>
          <w:strike w:val="0"/>
          <w:sz w:val="16"/>
          <w:u w:val="none"/>
        </w:rPr>
        <w:t>Pyrates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' of the Lyceum: Big Pharma, Patents, and Academic Freedom in Neoliberal Times,” </w:t>
      </w:r>
      <w:r>
        <w:rPr>
          <w:b w:val="0"/>
          <w:i/>
          <w:smallCaps w:val="0"/>
          <w:strike w:val="0"/>
          <w:sz w:val="16"/>
          <w:u w:val="none"/>
        </w:rPr>
        <w:t>Osgoode</w:t>
      </w:r>
      <w:r>
        <w:rPr>
          <w:b w:val="0"/>
          <w:i/>
          <w:smallCaps w:val="0"/>
          <w:strike w:val="0"/>
          <w:sz w:val="16"/>
          <w:u w:val="none"/>
        </w:rPr>
        <w:t xml:space="preserve"> Hall Law School Dissertations</w:t>
      </w:r>
      <w:r>
        <w:rPr>
          <w:b w:val="0"/>
          <w:i w:val="0"/>
          <w:smallCaps w:val="0"/>
          <w:strike w:val="0"/>
          <w:sz w:val="16"/>
          <w:u w:val="none"/>
        </w:rPr>
        <w:t>, https://digitalcommons.osgoode.yorku.ca/cgi/viewcontent.cgi?article=1030&amp;context=phd)//BB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Foucault’s use of the term “discourse” would not be out of place to use in our discussion of intellectual property and as a strategy to understand the ‘</w:t>
      </w:r>
      <w:r>
        <w:rPr>
          <w:b w:val="0"/>
          <w:i w:val="0"/>
          <w:smallCaps w:val="0"/>
          <w:strike w:val="0"/>
          <w:sz w:val="20"/>
          <w:u w:val="single"/>
        </w:rPr>
        <w:t>propertisation</w:t>
      </w:r>
      <w:r>
        <w:rPr>
          <w:b w:val="0"/>
          <w:i w:val="0"/>
          <w:smallCaps w:val="0"/>
          <w:strike w:val="0"/>
          <w:sz w:val="20"/>
          <w:u w:val="single"/>
        </w:rPr>
        <w:t>,’ commodification, ownership and protection of ideas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.254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Similar to the discourse of colonialism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,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20"/>
          <w:u w:val="single"/>
        </w:rPr>
        <w:t>roperty as a ‘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discourse’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is used to construct, justify and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legitimate further expansion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of intellectual property’s commodity form and its application. The discourse of colonialism can be a useful comparator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trying to understand and discuss the ever-expansive growth of intellectual property. In general,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the discourse of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colonisation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helps to frame,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conceptualise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and understand the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propertising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and commodifying discourses of “progress” and “innovation” inherent in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20"/>
          <w:u w:val="single"/>
        </w:rPr>
        <w:t>roperty claims</w:t>
      </w:r>
      <w:r>
        <w:rPr>
          <w:b w:val="0"/>
          <w:i w:val="0"/>
          <w:smallCaps w:val="0"/>
          <w:strike w:val="0"/>
          <w:sz w:val="16"/>
          <w:u w:val="none"/>
        </w:rPr>
        <w:t>. As an analogy and to paraphrase Saïd: “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Without examining</w:t>
      </w:r>
      <w:r>
        <w:rPr>
          <w:b w:val="0"/>
          <w:i w:val="0"/>
          <w:smallCaps w:val="0"/>
          <w:strike w:val="0"/>
          <w:sz w:val="20"/>
          <w:u w:val="single"/>
        </w:rPr>
        <w:t>… [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roperty]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as a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discourse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 one cannot possibly understand the enormously systematic discipline by which European culture was able to manage – and even produce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– [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20"/>
          <w:u w:val="single"/>
        </w:rPr>
        <w:t>roperty]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” 255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>and the power required to construct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i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ntellectual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p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roperty </w:t>
      </w:r>
      <w:r>
        <w:rPr>
          <w:b w:val="0"/>
          <w:i w:val="0"/>
          <w:smallCaps w:val="0"/>
          <w:strike w:val="0"/>
          <w:sz w:val="20"/>
          <w:highlight w:val="cyan"/>
          <w:u w:val="single"/>
        </w:rPr>
        <w:t xml:space="preserve">as a </w:t>
      </w:r>
      <w:r>
        <w:rPr>
          <w:b/>
          <w:i w:val="0"/>
          <w:smallCaps w:val="0"/>
          <w:strike w:val="0"/>
          <w:sz w:val="20"/>
          <w:highlight w:val="cyan"/>
          <w:u w:val="single"/>
        </w:rPr>
        <w:t>commodity and system and impose it on the world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IP Commons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