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w:t>
      </w:r>
      <w:r>
        <w:rPr>
          <w:b/>
          <w:i w:val="0"/>
          <w:smallCaps w:val="0"/>
          <w:strike w:val="0"/>
          <w:sz w:val="26"/>
          <w:u w:val="single"/>
        </w:rPr>
        <w:t>link alone</w:t>
      </w:r>
      <w:r>
        <w:rPr>
          <w:b/>
          <w:i w:val="0"/>
          <w:smallCaps w:val="0"/>
          <w:strike w:val="0"/>
          <w:sz w:val="26"/>
          <w:u w:val="none"/>
        </w:rPr>
        <w:t xml:space="preserve"> turns case----PTO backlogs </w:t>
      </w:r>
      <w:r>
        <w:rPr>
          <w:b/>
          <w:i w:val="0"/>
          <w:smallCaps w:val="0"/>
          <w:strike w:val="0"/>
          <w:sz w:val="26"/>
          <w:u w:val="single"/>
        </w:rPr>
        <w:t>deck</w:t>
      </w:r>
      <w:r>
        <w:rPr>
          <w:b/>
          <w:i w:val="0"/>
          <w:smallCaps w:val="0"/>
          <w:strike w:val="0"/>
          <w:sz w:val="26"/>
          <w:u w:val="none"/>
        </w:rPr>
        <w:t xml:space="preserve"> investment, </w:t>
      </w:r>
      <w:r>
        <w:rPr>
          <w:b/>
          <w:i w:val="0"/>
          <w:smallCaps w:val="0"/>
          <w:strike w:val="0"/>
          <w:sz w:val="26"/>
          <w:u w:val="single"/>
        </w:rPr>
        <w:t>delay</w:t>
      </w:r>
      <w:r>
        <w:rPr>
          <w:b/>
          <w:i w:val="0"/>
          <w:smallCaps w:val="0"/>
          <w:strike w:val="0"/>
          <w:sz w:val="26"/>
          <w:u w:val="none"/>
        </w:rPr>
        <w:t xml:space="preserve"> applications, and zero </w:t>
      </w:r>
      <w:r>
        <w:rPr>
          <w:b/>
          <w:i w:val="0"/>
          <w:smallCaps w:val="0"/>
          <w:strike w:val="0"/>
          <w:sz w:val="26"/>
          <w:u w:val="single"/>
        </w:rPr>
        <w:t>innovation</w:t>
      </w:r>
      <w:r>
        <w:rPr>
          <w:b/>
          <w:i w:val="0"/>
          <w:smallCaps w:val="0"/>
          <w:strike w:val="0"/>
          <w:sz w:val="26"/>
          <w:u w:val="none"/>
        </w:rPr>
        <w:t xml:space="preserve">. </w:t>
      </w:r>
    </w:p>
    <w:p>
      <w:pPr>
        <w:spacing w:after="80"/>
      </w:pPr>
      <w:r>
        <w:rPr>
          <w:b/>
          <w:i w:val="0"/>
          <w:smallCaps w:val="0"/>
          <w:strike w:val="0"/>
          <w:sz w:val="26"/>
          <w:u w:val="none"/>
        </w:rPr>
        <w:t>Cohen ’23</w:t>
      </w:r>
      <w:r>
        <w:rPr>
          <w:b w:val="0"/>
          <w:i w:val="0"/>
          <w:smallCaps w:val="0"/>
          <w:strike w:val="0"/>
          <w:u w:val="none"/>
        </w:rPr>
        <w:t xml:space="preserve"> [ Micheal N. Cohen; Cohen IP Law Group; “Cohen IP Law Group Says Trademark Review Delays at the USPTO Make Do-It-Yourself Trademark Applications Risky for Businesses and Startups,” Law Firm Newswire, November 7, 2023, https://lawfirmnewswire.com/2023/11/cohen-ip-law-group-says-trademark-review-delays-at-the-uspto-make-do-it-yourself-trademark-applications-risky-for-businesses-and-startups/, </w:t>
      </w:r>
      <w:r>
        <w:rPr>
          <w:b w:val="0"/>
          <w:i w:val="0"/>
          <w:smallCaps w:val="0"/>
          <w:strike w:val="0"/>
          <w:u w:val="none"/>
        </w:rPr>
        <w:t>wally</w:t>
      </w:r>
      <w:r>
        <w:rPr>
          <w:b w:val="0"/>
          <w:i w:val="0"/>
          <w:smallCaps w:val="0"/>
          <w:strike w:val="0"/>
          <w:u w:val="none"/>
        </w:rPr>
        <w:t>]</w:t>
      </w:r>
    </w:p>
    <w:p>
      <w:pPr>
        <w:spacing w:after="60"/>
      </w:pPr>
      <w:r>
        <w:rPr>
          <w:b w:val="0"/>
          <w:i w:val="0"/>
          <w:smallCaps w:val="0"/>
          <w:strike w:val="0"/>
          <w:u w:val="none"/>
        </w:rPr>
        <w:t xml:space="preserve">Orange County, California – Amidst the </w:t>
      </w:r>
      <w:r>
        <w:rPr>
          <w:b/>
          <w:i w:val="0"/>
          <w:smallCaps w:val="0"/>
          <w:strike w:val="0"/>
          <w:sz w:val="22"/>
          <w:highlight w:val="cyan"/>
          <w:u w:val="single"/>
        </w:rPr>
        <w:t>escalating</w:t>
      </w:r>
      <w:r>
        <w:rPr>
          <w:b w:val="0"/>
          <w:i w:val="0"/>
          <w:smallCaps w:val="0"/>
          <w:strike w:val="0"/>
          <w:u w:val="none"/>
        </w:rPr>
        <w:t xml:space="preserve"> </w:t>
      </w:r>
      <w:r>
        <w:rPr>
          <w:b/>
          <w:i w:val="0"/>
          <w:smallCaps w:val="0"/>
          <w:strike w:val="0"/>
          <w:sz w:val="22"/>
          <w:highlight w:val="cyan"/>
          <w:u w:val="single"/>
        </w:rPr>
        <w:t>backlog</w:t>
      </w:r>
      <w:r>
        <w:rPr>
          <w:b w:val="0"/>
          <w:i w:val="0"/>
          <w:smallCaps w:val="0"/>
          <w:strike w:val="0"/>
          <w:u w:val="none"/>
        </w:rPr>
        <w:t xml:space="preserve"> </w:t>
      </w:r>
      <w:r>
        <w:rPr>
          <w:b w:val="0"/>
          <w:i w:val="0"/>
          <w:smallCaps w:val="0"/>
          <w:strike w:val="0"/>
          <w:sz w:val="22"/>
          <w:highlight w:val="cyan"/>
          <w:u w:val="single"/>
        </w:rPr>
        <w:t>at</w:t>
      </w:r>
      <w:r>
        <w:rPr>
          <w:b w:val="0"/>
          <w:i w:val="0"/>
          <w:smallCaps w:val="0"/>
          <w:strike w:val="0"/>
          <w:u w:val="none"/>
        </w:rPr>
        <w:t xml:space="preserve"> the U.S. </w:t>
      </w:r>
      <w:r>
        <w:rPr>
          <w:b w:val="0"/>
          <w:i w:val="0"/>
          <w:smallCaps w:val="0"/>
          <w:strike w:val="0"/>
          <w:sz w:val="22"/>
          <w:highlight w:val="cyan"/>
          <w:u w:val="single"/>
        </w:rPr>
        <w:t>P</w:t>
      </w:r>
      <w:r>
        <w:rPr>
          <w:b w:val="0"/>
          <w:i w:val="0"/>
          <w:smallCaps w:val="0"/>
          <w:strike w:val="0"/>
          <w:u w:val="none"/>
        </w:rPr>
        <w:t xml:space="preserve">atent and </w:t>
      </w:r>
      <w:r>
        <w:rPr>
          <w:b w:val="0"/>
          <w:i w:val="0"/>
          <w:smallCaps w:val="0"/>
          <w:strike w:val="0"/>
          <w:sz w:val="22"/>
          <w:highlight w:val="cyan"/>
          <w:u w:val="single"/>
        </w:rPr>
        <w:t>T</w:t>
      </w:r>
      <w:r>
        <w:rPr>
          <w:b w:val="0"/>
          <w:i w:val="0"/>
          <w:smallCaps w:val="0"/>
          <w:strike w:val="0"/>
          <w:u w:val="none"/>
        </w:rPr>
        <w:t xml:space="preserve">rademark </w:t>
      </w:r>
      <w:r>
        <w:rPr>
          <w:b w:val="0"/>
          <w:i w:val="0"/>
          <w:smallCaps w:val="0"/>
          <w:strike w:val="0"/>
          <w:sz w:val="22"/>
          <w:highlight w:val="cyan"/>
          <w:u w:val="single"/>
        </w:rPr>
        <w:t>O</w:t>
      </w:r>
      <w:r>
        <w:rPr>
          <w:b w:val="0"/>
          <w:i w:val="0"/>
          <w:smallCaps w:val="0"/>
          <w:strike w:val="0"/>
          <w:u w:val="none"/>
        </w:rPr>
        <w:t xml:space="preserve">ffice (USPTO), Orange County trademark lawyer, Michael N. Cohen of Cohen IP Law Group underscores the </w:t>
      </w:r>
      <w:r>
        <w:rPr>
          <w:b w:val="0"/>
          <w:i w:val="0"/>
          <w:smallCaps w:val="0"/>
          <w:strike w:val="0"/>
          <w:sz w:val="22"/>
          <w:u w:val="single"/>
        </w:rPr>
        <w:t>necessity of timely and error-free</w:t>
      </w:r>
      <w:r>
        <w:rPr>
          <w:b w:val="0"/>
          <w:i w:val="0"/>
          <w:smallCaps w:val="0"/>
          <w:strike w:val="0"/>
          <w:u w:val="none"/>
        </w:rPr>
        <w:t xml:space="preserve"> trademark </w:t>
      </w:r>
      <w:r>
        <w:rPr>
          <w:b w:val="0"/>
          <w:i w:val="0"/>
          <w:smallCaps w:val="0"/>
          <w:strike w:val="0"/>
          <w:sz w:val="22"/>
          <w:u w:val="single"/>
        </w:rPr>
        <w:t>filings</w:t>
      </w:r>
      <w:r>
        <w:rPr>
          <w:b w:val="0"/>
          <w:i w:val="0"/>
          <w:smallCaps w:val="0"/>
          <w:strike w:val="0"/>
          <w:u w:val="none"/>
        </w:rPr>
        <w:t xml:space="preserve">. The current backlog at the USPTO has resulted in a trademark </w:t>
      </w:r>
      <w:r>
        <w:rPr>
          <w:b w:val="0"/>
          <w:i w:val="0"/>
          <w:smallCaps w:val="0"/>
          <w:strike w:val="0"/>
          <w:sz w:val="22"/>
          <w:highlight w:val="cyan"/>
          <w:u w:val="single"/>
        </w:rPr>
        <w:t>examination</w:t>
      </w:r>
      <w:r>
        <w:rPr>
          <w:b w:val="0"/>
          <w:i w:val="0"/>
          <w:smallCaps w:val="0"/>
          <w:strike w:val="0"/>
          <w:sz w:val="22"/>
          <w:u w:val="single"/>
        </w:rPr>
        <w:t xml:space="preserve"> </w:t>
      </w:r>
      <w:r>
        <w:rPr>
          <w:b w:val="0"/>
          <w:i w:val="0"/>
          <w:smallCaps w:val="0"/>
          <w:strike w:val="0"/>
          <w:sz w:val="22"/>
          <w:highlight w:val="cyan"/>
          <w:u w:val="single"/>
        </w:rPr>
        <w:t>time</w:t>
      </w:r>
      <w:r>
        <w:rPr>
          <w:b w:val="0"/>
          <w:i w:val="0"/>
          <w:smallCaps w:val="0"/>
          <w:strike w:val="0"/>
          <w:sz w:val="22"/>
          <w:u w:val="single"/>
        </w:rPr>
        <w:t xml:space="preserve"> </w:t>
      </w:r>
      <w:r>
        <w:rPr>
          <w:b w:val="0"/>
          <w:i w:val="0"/>
          <w:smallCaps w:val="0"/>
          <w:strike w:val="0"/>
          <w:sz w:val="22"/>
          <w:highlight w:val="cyan"/>
          <w:u w:val="single"/>
        </w:rPr>
        <w:t xml:space="preserve">of </w:t>
      </w:r>
      <w:r>
        <w:rPr>
          <w:b/>
          <w:i w:val="0"/>
          <w:smallCaps w:val="0"/>
          <w:strike w:val="0"/>
          <w:sz w:val="22"/>
          <w:highlight w:val="cyan"/>
          <w:u w:val="single"/>
        </w:rPr>
        <w:t>8.5 months</w:t>
      </w:r>
      <w:r>
        <w:rPr>
          <w:b w:val="0"/>
          <w:i w:val="0"/>
          <w:smallCaps w:val="0"/>
          <w:strike w:val="0"/>
          <w:sz w:val="22"/>
          <w:u w:val="single"/>
        </w:rPr>
        <w:t>,</w:t>
      </w:r>
      <w:r>
        <w:rPr>
          <w:b w:val="0"/>
          <w:i w:val="0"/>
          <w:smallCaps w:val="0"/>
          <w:strike w:val="0"/>
          <w:u w:val="none"/>
        </w:rPr>
        <w:t xml:space="preserve"> </w:t>
      </w:r>
      <w:r>
        <w:rPr>
          <w:b w:val="0"/>
          <w:i w:val="0"/>
          <w:smallCaps w:val="0"/>
          <w:strike w:val="0"/>
          <w:sz w:val="22"/>
          <w:u w:val="single"/>
        </w:rPr>
        <w:t xml:space="preserve">extending the overall </w:t>
      </w:r>
      <w:r>
        <w:rPr>
          <w:b w:val="0"/>
          <w:i w:val="0"/>
          <w:smallCaps w:val="0"/>
          <w:strike w:val="0"/>
          <w:sz w:val="22"/>
          <w:highlight w:val="cyan"/>
          <w:u w:val="single"/>
        </w:rPr>
        <w:t>registration</w:t>
      </w:r>
      <w:r>
        <w:rPr>
          <w:b w:val="0"/>
          <w:i w:val="0"/>
          <w:smallCaps w:val="0"/>
          <w:strike w:val="0"/>
          <w:sz w:val="22"/>
          <w:u w:val="single"/>
        </w:rPr>
        <w:t xml:space="preserve"> </w:t>
      </w:r>
      <w:r>
        <w:rPr>
          <w:b w:val="0"/>
          <w:i w:val="0"/>
          <w:smallCaps w:val="0"/>
          <w:strike w:val="0"/>
          <w:sz w:val="22"/>
          <w:highlight w:val="cyan"/>
          <w:u w:val="single"/>
        </w:rPr>
        <w:t>period</w:t>
      </w:r>
      <w:r>
        <w:rPr>
          <w:b w:val="0"/>
          <w:i w:val="0"/>
          <w:smallCaps w:val="0"/>
          <w:strike w:val="0"/>
          <w:sz w:val="22"/>
          <w:u w:val="single"/>
        </w:rPr>
        <w:t xml:space="preserve"> </w:t>
      </w:r>
      <w:r>
        <w:rPr>
          <w:b w:val="0"/>
          <w:i w:val="0"/>
          <w:smallCaps w:val="0"/>
          <w:strike w:val="0"/>
          <w:sz w:val="22"/>
          <w:highlight w:val="cyan"/>
          <w:u w:val="single"/>
        </w:rPr>
        <w:t xml:space="preserve">to </w:t>
      </w:r>
      <w:r>
        <w:rPr>
          <w:b/>
          <w:i w:val="0"/>
          <w:smallCaps w:val="0"/>
          <w:strike w:val="0"/>
          <w:sz w:val="22"/>
          <w:highlight w:val="cyan"/>
          <w:u w:val="single"/>
        </w:rPr>
        <w:t>14.6 months</w:t>
      </w:r>
      <w:r>
        <w:rPr>
          <w:b w:val="0"/>
          <w:i w:val="0"/>
          <w:smallCaps w:val="0"/>
          <w:strike w:val="0"/>
          <w:highlight w:val="cyan"/>
          <w:u w:val="none"/>
        </w:rPr>
        <w:t>.</w:t>
      </w:r>
    </w:p>
    <w:p>
      <w:pPr>
        <w:spacing w:after="60"/>
      </w:pPr>
      <w:r>
        <w:rPr>
          <w:b w:val="0"/>
          <w:i w:val="0"/>
          <w:smallCaps w:val="0"/>
          <w:strike w:val="0"/>
          <w:u w:val="none"/>
        </w:rPr>
        <w:t>In light of</w:t>
      </w:r>
      <w:r>
        <w:rPr>
          <w:b w:val="0"/>
          <w:i w:val="0"/>
          <w:smallCaps w:val="0"/>
          <w:strike w:val="0"/>
          <w:u w:val="none"/>
        </w:rPr>
        <w:t xml:space="preserve"> this, Michael N. Cohen, an experienced trademark lawyer and founder of Cohen IP Law Group, is advocating for early submission of trademark applications and warns against Do-It-Yourself (DIY) filings. </w:t>
      </w:r>
      <w:r>
        <w:rPr>
          <w:b w:val="0"/>
          <w:i w:val="0"/>
          <w:smallCaps w:val="0"/>
          <w:strike w:val="0"/>
          <w:sz w:val="22"/>
          <w:u w:val="single"/>
        </w:rPr>
        <w:t xml:space="preserve">One </w:t>
      </w:r>
      <w:r>
        <w:rPr>
          <w:b/>
          <w:i w:val="0"/>
          <w:smallCaps w:val="0"/>
          <w:strike w:val="0"/>
          <w:sz w:val="22"/>
          <w:highlight w:val="cyan"/>
          <w:u w:val="single"/>
        </w:rPr>
        <w:t>minor</w:t>
      </w:r>
      <w:r>
        <w:rPr>
          <w:b w:val="0"/>
          <w:i w:val="0"/>
          <w:smallCaps w:val="0"/>
          <w:strike w:val="0"/>
          <w:sz w:val="22"/>
          <w:u w:val="single"/>
        </w:rPr>
        <w:t xml:space="preserve"> </w:t>
      </w:r>
      <w:r>
        <w:rPr>
          <w:b/>
          <w:i w:val="0"/>
          <w:smallCaps w:val="0"/>
          <w:strike w:val="0"/>
          <w:sz w:val="22"/>
          <w:highlight w:val="cyan"/>
          <w:u w:val="single"/>
        </w:rPr>
        <w:t>mistake</w:t>
      </w:r>
      <w:r>
        <w:rPr>
          <w:b w:val="0"/>
          <w:i w:val="0"/>
          <w:smallCaps w:val="0"/>
          <w:strike w:val="0"/>
          <w:sz w:val="22"/>
          <w:u w:val="single"/>
        </w:rPr>
        <w:t xml:space="preserve"> could potentially </w:t>
      </w:r>
      <w:r>
        <w:rPr>
          <w:b/>
          <w:i w:val="0"/>
          <w:smallCaps w:val="0"/>
          <w:strike w:val="0"/>
          <w:sz w:val="22"/>
          <w:highlight w:val="cyan"/>
          <w:u w:val="single"/>
        </w:rPr>
        <w:t>derail</w:t>
      </w:r>
      <w:r>
        <w:rPr>
          <w:b w:val="0"/>
          <w:i w:val="0"/>
          <w:smallCaps w:val="0"/>
          <w:strike w:val="0"/>
          <w:sz w:val="22"/>
          <w:u w:val="single"/>
        </w:rPr>
        <w:t xml:space="preserve"> the </w:t>
      </w:r>
      <w:r>
        <w:rPr>
          <w:b w:val="0"/>
          <w:i w:val="0"/>
          <w:smallCaps w:val="0"/>
          <w:strike w:val="0"/>
          <w:sz w:val="22"/>
          <w:highlight w:val="cyan"/>
          <w:u w:val="single"/>
        </w:rPr>
        <w:t>application</w:t>
      </w:r>
      <w:r>
        <w:rPr>
          <w:b w:val="0"/>
          <w:i w:val="0"/>
          <w:smallCaps w:val="0"/>
          <w:strike w:val="0"/>
          <w:sz w:val="22"/>
          <w:u w:val="single"/>
        </w:rPr>
        <w:t xml:space="preserve"> </w:t>
      </w:r>
      <w:r>
        <w:rPr>
          <w:b/>
          <w:i w:val="0"/>
          <w:smallCaps w:val="0"/>
          <w:strike w:val="0"/>
          <w:sz w:val="22"/>
          <w:highlight w:val="cyan"/>
          <w:u w:val="single"/>
        </w:rPr>
        <w:t>process</w:t>
      </w:r>
      <w:r>
        <w:rPr>
          <w:b w:val="0"/>
          <w:i w:val="0"/>
          <w:smallCaps w:val="0"/>
          <w:strike w:val="0"/>
          <w:sz w:val="22"/>
          <w:u w:val="single"/>
        </w:rPr>
        <w:t xml:space="preserve">, or worse, </w:t>
      </w:r>
      <w:r>
        <w:rPr>
          <w:b w:val="0"/>
          <w:i w:val="0"/>
          <w:smallCaps w:val="0"/>
          <w:strike w:val="0"/>
          <w:sz w:val="22"/>
          <w:highlight w:val="cyan"/>
          <w:u w:val="single"/>
        </w:rPr>
        <w:t>cause</w:t>
      </w:r>
      <w:r>
        <w:rPr>
          <w:b w:val="0"/>
          <w:i w:val="0"/>
          <w:smallCaps w:val="0"/>
          <w:strike w:val="0"/>
          <w:sz w:val="22"/>
          <w:u w:val="single"/>
        </w:rPr>
        <w:t xml:space="preserve"> outright </w:t>
      </w:r>
      <w:r>
        <w:rPr>
          <w:b/>
          <w:i w:val="0"/>
          <w:smallCaps w:val="0"/>
          <w:strike w:val="0"/>
          <w:sz w:val="22"/>
          <w:highlight w:val="cyan"/>
          <w:u w:val="single"/>
        </w:rPr>
        <w:t>rejection</w:t>
      </w:r>
      <w:r>
        <w:rPr>
          <w:b w:val="0"/>
          <w:i w:val="0"/>
          <w:smallCaps w:val="0"/>
          <w:strike w:val="0"/>
          <w:sz w:val="22"/>
          <w:u w:val="single"/>
        </w:rPr>
        <w:t xml:space="preserve"> resulting in </w:t>
      </w:r>
      <w:r>
        <w:rPr>
          <w:b/>
          <w:i w:val="0"/>
          <w:smallCaps w:val="0"/>
          <w:strike w:val="0"/>
          <w:sz w:val="22"/>
          <w:u w:val="single"/>
        </w:rPr>
        <w:t>further delays</w:t>
      </w:r>
      <w:r>
        <w:rPr>
          <w:b w:val="0"/>
          <w:i w:val="0"/>
          <w:smallCaps w:val="0"/>
          <w:strike w:val="0"/>
          <w:sz w:val="22"/>
          <w:u w:val="single"/>
        </w:rPr>
        <w:t>.</w:t>
      </w:r>
    </w:p>
    <w:p>
      <w:pPr>
        <w:spacing w:after="60"/>
      </w:pPr>
      <w:r>
        <w:rPr>
          <w:b w:val="0"/>
          <w:i w:val="0"/>
          <w:smallCaps w:val="0"/>
          <w:strike w:val="0"/>
          <w:u w:val="none"/>
        </w:rPr>
        <w:t>“Getting your trademark application right the first time is more crucial than ever with the current backlog,” says Cohen. “This is not the time for trial and error. This is why we’re urging inventors, startups, and corporations not to delay their trademark filings and to only file with an experienced trademark lawyer.”</w:t>
      </w:r>
    </w:p>
    <w:p>
      <w:pPr>
        <w:spacing w:after="60"/>
      </w:pPr>
      <w:r>
        <w:rPr>
          <w:b w:val="0"/>
          <w:i w:val="0"/>
          <w:smallCaps w:val="0"/>
          <w:strike w:val="0"/>
          <w:u w:val="none"/>
        </w:rPr>
        <w:t>Cohen IP Law Group is renowned for its expertise in the field of Intellectual Property Law. With a team of seasoned trademark lawyers, the firm has helped countless inventors, startups, and corporations navigate the complex world of patents and trademarks. Cohen and his team are committed to offering personalized guidance and invaluable insight to ensure a smooth and successful application process.</w:t>
      </w:r>
    </w:p>
    <w:p>
      <w:pPr>
        <w:spacing w:after="60"/>
      </w:pPr>
      <w:r>
        <w:rPr>
          <w:b w:val="0"/>
          <w:i w:val="0"/>
          <w:smallCaps w:val="0"/>
          <w:strike w:val="0"/>
          <w:u w:val="none"/>
        </w:rPr>
        <w:t>Cohen further emphasizes the potential pitfalls of DIY trademark filings. “</w:t>
      </w:r>
      <w:r>
        <w:rPr>
          <w:b w:val="0"/>
          <w:i w:val="0"/>
          <w:smallCaps w:val="0"/>
          <w:strike w:val="0"/>
          <w:sz w:val="22"/>
          <w:u w:val="single"/>
        </w:rPr>
        <w:t>A single error can make the difference between a successful filing or having your application rejected</w:t>
      </w:r>
      <w:r>
        <w:rPr>
          <w:b w:val="0"/>
          <w:i w:val="0"/>
          <w:smallCaps w:val="0"/>
          <w:strike w:val="0"/>
          <w:u w:val="none"/>
        </w:rPr>
        <w:t xml:space="preserve">. </w:t>
      </w:r>
      <w:r>
        <w:rPr>
          <w:b w:val="0"/>
          <w:i w:val="0"/>
          <w:smallCaps w:val="0"/>
          <w:strike w:val="0"/>
          <w:sz w:val="22"/>
          <w:u w:val="single"/>
        </w:rPr>
        <w:t xml:space="preserve">The </w:t>
      </w:r>
      <w:r>
        <w:rPr>
          <w:b/>
          <w:i w:val="0"/>
          <w:smallCaps w:val="0"/>
          <w:strike w:val="0"/>
          <w:sz w:val="22"/>
          <w:highlight w:val="cyan"/>
          <w:u w:val="single"/>
        </w:rPr>
        <w:t>time</w:t>
      </w:r>
      <w:r>
        <w:rPr>
          <w:b w:val="0"/>
          <w:i w:val="0"/>
          <w:smallCaps w:val="0"/>
          <w:strike w:val="0"/>
          <w:sz w:val="22"/>
          <w:u w:val="single"/>
        </w:rPr>
        <w:t xml:space="preserve">, </w:t>
      </w:r>
      <w:r>
        <w:rPr>
          <w:b/>
          <w:i w:val="0"/>
          <w:smallCaps w:val="0"/>
          <w:strike w:val="0"/>
          <w:sz w:val="22"/>
          <w:highlight w:val="cyan"/>
          <w:u w:val="single"/>
        </w:rPr>
        <w:t>money</w:t>
      </w:r>
      <w:r>
        <w:rPr>
          <w:b w:val="0"/>
          <w:i w:val="0"/>
          <w:smallCaps w:val="0"/>
          <w:strike w:val="0"/>
          <w:sz w:val="22"/>
          <w:u w:val="single"/>
        </w:rPr>
        <w:t xml:space="preserve">, and </w:t>
      </w:r>
      <w:r>
        <w:rPr>
          <w:b/>
          <w:i w:val="0"/>
          <w:smallCaps w:val="0"/>
          <w:strike w:val="0"/>
          <w:sz w:val="22"/>
          <w:highlight w:val="cyan"/>
          <w:u w:val="single"/>
        </w:rPr>
        <w:t>resources</w:t>
      </w:r>
      <w:r>
        <w:rPr>
          <w:b w:val="0"/>
          <w:i w:val="0"/>
          <w:smallCaps w:val="0"/>
          <w:strike w:val="0"/>
          <w:sz w:val="22"/>
          <w:u w:val="single"/>
        </w:rPr>
        <w:t xml:space="preserve"> </w:t>
      </w:r>
      <w:r>
        <w:rPr>
          <w:b/>
          <w:i w:val="0"/>
          <w:smallCaps w:val="0"/>
          <w:strike w:val="0"/>
          <w:sz w:val="22"/>
          <w:highlight w:val="cyan"/>
          <w:u w:val="single"/>
        </w:rPr>
        <w:t>wasted</w:t>
      </w:r>
      <w:r>
        <w:rPr>
          <w:b w:val="0"/>
          <w:i w:val="0"/>
          <w:smallCaps w:val="0"/>
          <w:strike w:val="0"/>
          <w:sz w:val="22"/>
          <w:u w:val="single"/>
        </w:rPr>
        <w:t xml:space="preserve"> on unsuccessful applications can be </w:t>
      </w:r>
      <w:r>
        <w:rPr>
          <w:b/>
          <w:i w:val="0"/>
          <w:smallCaps w:val="0"/>
          <w:strike w:val="0"/>
          <w:sz w:val="22"/>
          <w:highlight w:val="cyan"/>
          <w:u w:val="single"/>
        </w:rPr>
        <w:t>devastating</w:t>
      </w:r>
      <w:r>
        <w:rPr>
          <w:b w:val="0"/>
          <w:i w:val="0"/>
          <w:smallCaps w:val="0"/>
          <w:strike w:val="0"/>
          <w:sz w:val="22"/>
          <w:u w:val="single"/>
        </w:rPr>
        <w:t xml:space="preserve"> </w:t>
      </w:r>
      <w:r>
        <w:rPr>
          <w:b/>
          <w:i w:val="0"/>
          <w:smallCaps w:val="0"/>
          <w:strike w:val="0"/>
          <w:sz w:val="22"/>
          <w:highlight w:val="cyan"/>
          <w:u w:val="single"/>
        </w:rPr>
        <w:t>for businesses</w:t>
      </w:r>
      <w:r>
        <w:rPr>
          <w:b w:val="0"/>
          <w:i w:val="0"/>
          <w:smallCaps w:val="0"/>
          <w:strike w:val="0"/>
          <w:u w:val="none"/>
        </w:rPr>
        <w:t>,” he warns.</w:t>
      </w:r>
    </w:p>
    <w:p>
      <w:pPr>
        <w:pStyle w:val="Caption"/>
      </w:pPr>
      <w:r>
        <w:t>Source: PTO Tradeoff DA - Michigan 2024 BEJK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