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RULE SHIFTING</w:t>
      </w:r>
      <w:r>
        <w:rPr>
          <w:b/>
          <w:i w:val="0"/>
          <w:smallCaps w:val="0"/>
          <w:strike w:val="0"/>
          <w:sz w:val="26"/>
          <w:u w:val="none"/>
        </w:rPr>
        <w:t xml:space="preserve">---New rule change </w:t>
      </w:r>
      <w:r>
        <w:rPr>
          <w:b/>
          <w:i w:val="0"/>
          <w:smallCaps w:val="0"/>
          <w:strike w:val="0"/>
          <w:sz w:val="26"/>
          <w:u w:val="single"/>
        </w:rPr>
        <w:t>solves</w:t>
      </w:r>
      <w:r>
        <w:rPr>
          <w:b/>
          <w:i w:val="0"/>
          <w:smallCaps w:val="0"/>
          <w:strike w:val="0"/>
          <w:sz w:val="26"/>
          <w:u w:val="none"/>
        </w:rPr>
        <w:t xml:space="preserve"> backlogs. </w:t>
      </w:r>
    </w:p>
    <w:p>
      <w:pPr>
        <w:spacing w:after="80"/>
      </w:pPr>
      <w:r>
        <w:rPr>
          <w:b/>
          <w:i w:val="0"/>
          <w:smallCaps w:val="0"/>
          <w:strike w:val="0"/>
          <w:sz w:val="26"/>
          <w:u w:val="none"/>
        </w:rPr>
        <w:t xml:space="preserve">Hunter 24 </w:t>
      </w:r>
      <w:r>
        <w:rPr>
          <w:b w:val="0"/>
          <w:i w:val="0"/>
          <w:smallCaps w:val="0"/>
          <w:strike w:val="0"/>
          <w:u w:val="none"/>
        </w:rPr>
        <w:t>[Shane Hunter. June 24, 2024. “USPTO Proposes New Rules on Terminal Disclaimers: A Potential Setback for Patentees”. https://www.sunsteinlaw.com/publications/uspto-proposes-new-rules-on-terminal-disclaimers-a-potential-setback-for-patentees.] BP</w:t>
      </w:r>
    </w:p>
    <w:p>
      <w:pPr>
        <w:spacing w:after="60"/>
      </w:pPr>
      <w:r>
        <w:rPr>
          <w:b w:val="0"/>
          <w:i w:val="0"/>
          <w:smallCaps w:val="0"/>
          <w:strike w:val="0"/>
          <w:sz w:val="22"/>
          <w:u w:val="single"/>
        </w:rPr>
        <w:t>The United States Patent and Trademark Office (</w:t>
      </w:r>
      <w:r>
        <w:rPr>
          <w:b/>
          <w:i w:val="0"/>
          <w:smallCaps w:val="0"/>
          <w:strike w:val="0"/>
          <w:sz w:val="22"/>
          <w:highlight w:val="cyan"/>
          <w:u w:val="single"/>
        </w:rPr>
        <w:t>USPTO</w:t>
      </w:r>
      <w:r>
        <w:rPr>
          <w:b w:val="0"/>
          <w:i w:val="0"/>
          <w:smallCaps w:val="0"/>
          <w:strike w:val="0"/>
          <w:sz w:val="22"/>
          <w:u w:val="single"/>
        </w:rPr>
        <w:t xml:space="preserve">) recently </w:t>
      </w:r>
      <w:r>
        <w:rPr>
          <w:b w:val="0"/>
          <w:i w:val="0"/>
          <w:smallCaps w:val="0"/>
          <w:strike w:val="0"/>
          <w:sz w:val="22"/>
          <w:highlight w:val="cyan"/>
          <w:u w:val="single"/>
        </w:rPr>
        <w:t xml:space="preserve">proposed </w:t>
      </w:r>
      <w:r>
        <w:rPr>
          <w:b w:val="0"/>
          <w:i w:val="0"/>
          <w:smallCaps w:val="0"/>
          <w:strike w:val="0"/>
          <w:sz w:val="22"/>
          <w:u w:val="single"/>
        </w:rPr>
        <w:t xml:space="preserve">a significant </w:t>
      </w:r>
      <w:r>
        <w:rPr>
          <w:b w:val="0"/>
          <w:i w:val="0"/>
          <w:smallCaps w:val="0"/>
          <w:strike w:val="0"/>
          <w:sz w:val="22"/>
          <w:highlight w:val="cyan"/>
          <w:u w:val="single"/>
        </w:rPr>
        <w:t xml:space="preserve">change to </w:t>
      </w:r>
      <w:r>
        <w:rPr>
          <w:b w:val="0"/>
          <w:i w:val="0"/>
          <w:smallCaps w:val="0"/>
          <w:strike w:val="0"/>
          <w:sz w:val="22"/>
          <w:u w:val="single"/>
        </w:rPr>
        <w:t xml:space="preserve">the </w:t>
      </w:r>
      <w:r>
        <w:rPr>
          <w:b w:val="0"/>
          <w:i w:val="0"/>
          <w:smallCaps w:val="0"/>
          <w:strike w:val="0"/>
          <w:sz w:val="22"/>
          <w:highlight w:val="cyan"/>
          <w:u w:val="single"/>
        </w:rPr>
        <w:t>rules governing terminal disclaimers</w:t>
      </w:r>
      <w:r>
        <w:rPr>
          <w:b w:val="0"/>
          <w:i w:val="0"/>
          <w:smallCaps w:val="0"/>
          <w:strike w:val="0"/>
          <w:sz w:val="22"/>
          <w:u w:val="single"/>
        </w:rPr>
        <w:t xml:space="preserve">. The USPTO says that the rule change would “promote innovation and competition,” but is more likely </w:t>
      </w:r>
      <w:r>
        <w:rPr>
          <w:b w:val="0"/>
          <w:i w:val="0"/>
          <w:smallCaps w:val="0"/>
          <w:strike w:val="0"/>
          <w:sz w:val="22"/>
          <w:highlight w:val="cyan"/>
          <w:u w:val="single"/>
        </w:rPr>
        <w:t xml:space="preserve">designed to </w:t>
      </w:r>
      <w:r>
        <w:rPr>
          <w:b/>
          <w:i w:val="0"/>
          <w:smallCaps w:val="0"/>
          <w:strike w:val="0"/>
          <w:sz w:val="22"/>
          <w:highlight w:val="cyan"/>
          <w:u w:val="single"/>
        </w:rPr>
        <w:t>reduce</w:t>
      </w:r>
      <w:r>
        <w:rPr>
          <w:b w:val="0"/>
          <w:i w:val="0"/>
          <w:smallCaps w:val="0"/>
          <w:strike w:val="0"/>
          <w:sz w:val="22"/>
          <w:highlight w:val="cyan"/>
          <w:u w:val="single"/>
        </w:rPr>
        <w:t xml:space="preserve"> </w:t>
      </w:r>
      <w:r>
        <w:rPr>
          <w:b w:val="0"/>
          <w:i w:val="0"/>
          <w:smallCaps w:val="0"/>
          <w:strike w:val="0"/>
          <w:sz w:val="22"/>
          <w:u w:val="single"/>
        </w:rPr>
        <w:t xml:space="preserve">the </w:t>
      </w:r>
      <w:r>
        <w:rPr>
          <w:b/>
          <w:i w:val="0"/>
          <w:smallCaps w:val="0"/>
          <w:strike w:val="0"/>
          <w:sz w:val="22"/>
          <w:highlight w:val="cyan"/>
          <w:u w:val="single"/>
        </w:rPr>
        <w:t>backlog of cases</w:t>
      </w:r>
      <w:r>
        <w:rPr>
          <w:b w:val="0"/>
          <w:i w:val="0"/>
          <w:smallCaps w:val="0"/>
          <w:strike w:val="0"/>
          <w:sz w:val="22"/>
          <w:highlight w:val="cyan"/>
          <w:u w:val="single"/>
        </w:rPr>
        <w:t xml:space="preserve"> </w:t>
      </w:r>
      <w:r>
        <w:rPr>
          <w:b w:val="0"/>
          <w:i w:val="0"/>
          <w:smallCaps w:val="0"/>
          <w:strike w:val="0"/>
          <w:sz w:val="22"/>
          <w:u w:val="single"/>
        </w:rPr>
        <w:t>at the USPTO regardless of the cost to innovators</w:t>
      </w:r>
      <w:r>
        <w:rPr>
          <w:b w:val="0"/>
          <w:i w:val="0"/>
          <w:smallCaps w:val="0"/>
          <w:strike w:val="0"/>
          <w:u w:val="none"/>
        </w:rPr>
        <w:t xml:space="preserve">, </w:t>
      </w:r>
      <w:r>
        <w:rPr>
          <w:b w:val="0"/>
          <w:i w:val="0"/>
          <w:smallCaps w:val="0"/>
          <w:strike w:val="0"/>
          <w:u w:val="none"/>
        </w:rPr>
        <w:t>who will end up with weaker patents if they result from continuation applications with terminal disclaimers.</w:t>
      </w:r>
    </w:p>
    <w:p>
      <w:pPr>
        <w:spacing w:after="60"/>
      </w:pPr>
      <w:r>
        <w:rPr>
          <w:b w:val="0"/>
          <w:i w:val="0"/>
          <w:smallCaps w:val="0"/>
          <w:strike w:val="0"/>
          <w:u w:val="none"/>
        </w:rPr>
        <w:t xml:space="preserve">Competitors of patentees will sometimes utilize the teaching of a patent but, to avoid infringement, design around the claims of the patent. Patentees often file patent applications based on an original patent (called “continuation practice”) to cover products designed in this manner. Continuation applications are sometimes rejected </w:t>
      </w:r>
      <w:r>
        <w:rPr>
          <w:b w:val="0"/>
          <w:i w:val="0"/>
          <w:smallCaps w:val="0"/>
          <w:strike w:val="0"/>
          <w:u w:val="none"/>
        </w:rPr>
        <w:t>on the basis of</w:t>
      </w:r>
      <w:r>
        <w:rPr>
          <w:b w:val="0"/>
          <w:i w:val="0"/>
          <w:smallCaps w:val="0"/>
          <w:strike w:val="0"/>
          <w:u w:val="none"/>
        </w:rPr>
        <w:t xml:space="preserve"> “double patenting,” particularly if the patent office sees the continuation application as merely an attempt to extend the term of the original patent. Terminal disclaimers, which limit the patent term to the expiration date of the original patent, are frequently employed in response to such double patenting rejections.</w:t>
      </w:r>
    </w:p>
    <w:p>
      <w:pPr>
        <w:spacing w:after="60"/>
      </w:pPr>
      <w:r>
        <w:rPr>
          <w:b w:val="0"/>
          <w:i w:val="0"/>
          <w:smallCaps w:val="0"/>
          <w:strike w:val="0"/>
          <w:sz w:val="22"/>
          <w:u w:val="single"/>
        </w:rPr>
        <w:t xml:space="preserve">The </w:t>
      </w:r>
      <w:r>
        <w:rPr>
          <w:b w:val="0"/>
          <w:i w:val="0"/>
          <w:smallCaps w:val="0"/>
          <w:strike w:val="0"/>
          <w:sz w:val="22"/>
          <w:highlight w:val="cyan"/>
          <w:u w:val="single"/>
        </w:rPr>
        <w:t xml:space="preserve">USPTO's </w:t>
      </w:r>
      <w:r>
        <w:rPr>
          <w:b w:val="0"/>
          <w:i w:val="0"/>
          <w:smallCaps w:val="0"/>
          <w:strike w:val="0"/>
          <w:sz w:val="22"/>
          <w:u w:val="single"/>
        </w:rPr>
        <w:t xml:space="preserve">proposed </w:t>
      </w:r>
      <w:r>
        <w:rPr>
          <w:b w:val="0"/>
          <w:i w:val="0"/>
          <w:smallCaps w:val="0"/>
          <w:strike w:val="0"/>
          <w:sz w:val="22"/>
          <w:highlight w:val="cyan"/>
          <w:u w:val="single"/>
        </w:rPr>
        <w:t xml:space="preserve">rule change would introduce </w:t>
      </w:r>
      <w:r>
        <w:rPr>
          <w:b w:val="0"/>
          <w:i w:val="0"/>
          <w:smallCaps w:val="0"/>
          <w:strike w:val="0"/>
          <w:sz w:val="22"/>
          <w:u w:val="single"/>
        </w:rPr>
        <w:t xml:space="preserve">a new </w:t>
      </w:r>
      <w:r>
        <w:rPr>
          <w:b w:val="0"/>
          <w:i w:val="0"/>
          <w:smallCaps w:val="0"/>
          <w:strike w:val="0"/>
          <w:sz w:val="22"/>
          <w:highlight w:val="cyan"/>
          <w:u w:val="single"/>
        </w:rPr>
        <w:t xml:space="preserve">condition on continuation </w:t>
      </w:r>
      <w:r>
        <w:rPr>
          <w:b w:val="0"/>
          <w:i w:val="0"/>
          <w:smallCaps w:val="0"/>
          <w:strike w:val="0"/>
          <w:sz w:val="22"/>
          <w:u w:val="single"/>
        </w:rPr>
        <w:t xml:space="preserve">applications </w:t>
      </w:r>
      <w:r>
        <w:rPr>
          <w:b w:val="0"/>
          <w:i w:val="0"/>
          <w:smallCaps w:val="0"/>
          <w:strike w:val="0"/>
          <w:sz w:val="22"/>
          <w:highlight w:val="cyan"/>
          <w:u w:val="single"/>
        </w:rPr>
        <w:t>with terminal disclaimers</w:t>
      </w:r>
      <w:r>
        <w:rPr>
          <w:b w:val="0"/>
          <w:i w:val="0"/>
          <w:smallCaps w:val="0"/>
          <w:strike w:val="0"/>
          <w:sz w:val="22"/>
          <w:u w:val="single"/>
        </w:rPr>
        <w:t xml:space="preserve">: the applicant </w:t>
      </w:r>
      <w:r>
        <w:rPr>
          <w:b w:val="0"/>
          <w:i w:val="0"/>
          <w:smallCaps w:val="0"/>
          <w:strike w:val="0"/>
          <w:sz w:val="22"/>
          <w:highlight w:val="cyan"/>
          <w:u w:val="single"/>
        </w:rPr>
        <w:t xml:space="preserve">filing a </w:t>
      </w:r>
      <w:r>
        <w:rPr>
          <w:b w:val="0"/>
          <w:i w:val="0"/>
          <w:smallCaps w:val="0"/>
          <w:strike w:val="0"/>
          <w:sz w:val="22"/>
          <w:u w:val="single"/>
        </w:rPr>
        <w:t xml:space="preserve">terminal </w:t>
      </w:r>
      <w:r>
        <w:rPr>
          <w:b w:val="0"/>
          <w:i w:val="0"/>
          <w:smallCaps w:val="0"/>
          <w:strike w:val="0"/>
          <w:sz w:val="22"/>
          <w:highlight w:val="cyan"/>
          <w:u w:val="single"/>
        </w:rPr>
        <w:t xml:space="preserve">disclaimer would have </w:t>
      </w:r>
      <w:r>
        <w:rPr>
          <w:b w:val="0"/>
          <w:i w:val="0"/>
          <w:smallCaps w:val="0"/>
          <w:strike w:val="0"/>
          <w:sz w:val="22"/>
          <w:u w:val="single"/>
        </w:rPr>
        <w:t xml:space="preserve">to agree that the </w:t>
      </w:r>
      <w:r>
        <w:rPr>
          <w:b w:val="0"/>
          <w:i w:val="0"/>
          <w:smallCaps w:val="0"/>
          <w:strike w:val="0"/>
          <w:sz w:val="22"/>
          <w:highlight w:val="cyan"/>
          <w:u w:val="single"/>
        </w:rPr>
        <w:t xml:space="preserve">patent with </w:t>
      </w:r>
      <w:r>
        <w:rPr>
          <w:b w:val="0"/>
          <w:i w:val="0"/>
          <w:smallCaps w:val="0"/>
          <w:strike w:val="0"/>
          <w:sz w:val="22"/>
          <w:u w:val="single"/>
        </w:rPr>
        <w:t xml:space="preserve">the terminal </w:t>
      </w:r>
      <w:r>
        <w:rPr>
          <w:b w:val="0"/>
          <w:i w:val="0"/>
          <w:smallCaps w:val="0"/>
          <w:strike w:val="0"/>
          <w:sz w:val="22"/>
          <w:highlight w:val="cyan"/>
          <w:u w:val="single"/>
        </w:rPr>
        <w:t xml:space="preserve">disclaimer will only be enforceable if </w:t>
      </w:r>
      <w:r>
        <w:rPr>
          <w:b w:val="0"/>
          <w:i w:val="0"/>
          <w:smallCaps w:val="0"/>
          <w:strike w:val="0"/>
          <w:sz w:val="22"/>
          <w:u w:val="single"/>
        </w:rPr>
        <w:t xml:space="preserve">it is </w:t>
      </w:r>
      <w:r>
        <w:rPr>
          <w:b w:val="0"/>
          <w:i w:val="0"/>
          <w:smallCaps w:val="0"/>
          <w:strike w:val="0"/>
          <w:sz w:val="22"/>
          <w:highlight w:val="cyan"/>
          <w:u w:val="single"/>
        </w:rPr>
        <w:t>not</w:t>
      </w:r>
      <w:r>
        <w:rPr>
          <w:b w:val="0"/>
          <w:i w:val="0"/>
          <w:smallCaps w:val="0"/>
          <w:strike w:val="0"/>
          <w:sz w:val="22"/>
          <w:u w:val="single"/>
        </w:rPr>
        <w:t xml:space="preserve">, and has </w:t>
      </w:r>
      <w:r>
        <w:rPr>
          <w:b w:val="0"/>
          <w:i w:val="0"/>
          <w:smallCaps w:val="0"/>
          <w:strike w:val="0"/>
          <w:sz w:val="22"/>
          <w:highlight w:val="cyan"/>
          <w:u w:val="single"/>
        </w:rPr>
        <w:t>never been</w:t>
      </w:r>
      <w:r>
        <w:rPr>
          <w:b w:val="0"/>
          <w:i w:val="0"/>
          <w:smallCaps w:val="0"/>
          <w:strike w:val="0"/>
          <w:sz w:val="22"/>
          <w:u w:val="single"/>
        </w:rPr>
        <w:t>, tied through one or more terminal disclaimers to a patent in which any claim has been finally held unpatentable or invalid over prior art</w:t>
      </w:r>
      <w:r>
        <w:rPr>
          <w:b w:val="0"/>
          <w:i w:val="0"/>
          <w:smallCaps w:val="0"/>
          <w:strike w:val="0"/>
          <w:u w:val="none"/>
        </w:rPr>
        <w:t xml:space="preserve">. </w:t>
      </w:r>
      <w:r>
        <w:rPr>
          <w:b w:val="0"/>
          <w:i w:val="0"/>
          <w:smallCaps w:val="0"/>
          <w:strike w:val="0"/>
          <w:u w:val="none"/>
        </w:rPr>
        <w:t xml:space="preserve">This proposed new requirement is inconsistent with 35 USC 253, which states that the invalidity of one claim in a patent shall not render the remaining claims in the patent invalid. Nonetheless, the proposed rule would require patent applicants agree to a self-imposed penalty </w:t>
      </w:r>
      <w:r>
        <w:rPr>
          <w:b w:val="0"/>
          <w:i w:val="0"/>
          <w:smallCaps w:val="0"/>
          <w:strike w:val="0"/>
          <w:u w:val="none"/>
        </w:rPr>
        <w:t>similar to</w:t>
      </w:r>
      <w:r>
        <w:rPr>
          <w:b w:val="0"/>
          <w:i w:val="0"/>
          <w:smallCaps w:val="0"/>
          <w:strike w:val="0"/>
          <w:u w:val="none"/>
        </w:rPr>
        <w:t xml:space="preserve"> that barred by statute.</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