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single"/>
        </w:rPr>
        <w:t>EMPIRICS</w:t>
      </w:r>
      <w:r>
        <w:rPr>
          <w:b/>
          <w:i w:val="0"/>
          <w:smallCaps w:val="0"/>
          <w:strike w:val="0"/>
          <w:sz w:val="26"/>
          <w:u w:val="none"/>
        </w:rPr>
        <w:t>---</w:t>
      </w:r>
      <w:r>
        <w:rPr>
          <w:b/>
          <w:i w:val="0"/>
          <w:smallCaps w:val="0"/>
          <w:strike w:val="0"/>
          <w:sz w:val="26"/>
          <w:u w:val="none"/>
        </w:rPr>
        <w:t xml:space="preserve">COVID </w:t>
      </w:r>
      <w:r>
        <w:rPr>
          <w:b/>
          <w:i w:val="0"/>
          <w:smallCaps w:val="0"/>
          <w:strike w:val="0"/>
          <w:sz w:val="26"/>
          <w:u w:val="single"/>
        </w:rPr>
        <w:t>decreased</w:t>
      </w:r>
      <w:r>
        <w:rPr>
          <w:b/>
          <w:i w:val="0"/>
          <w:smallCaps w:val="0"/>
          <w:strike w:val="0"/>
          <w:sz w:val="26"/>
          <w:u w:val="none"/>
        </w:rPr>
        <w:t xml:space="preserve"> patent applications.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Gzybowski</w:t>
      </w:r>
      <w:r>
        <w:rPr>
          <w:b/>
          <w:i w:val="0"/>
          <w:smallCaps w:val="0"/>
          <w:strike w:val="0"/>
          <w:sz w:val="26"/>
          <w:u w:val="none"/>
        </w:rPr>
        <w:t>’ 22</w:t>
      </w:r>
      <w:r>
        <w:rPr>
          <w:b w:val="0"/>
          <w:i w:val="0"/>
          <w:smallCaps w:val="0"/>
          <w:strike w:val="0"/>
          <w:u w:val="none"/>
        </w:rPr>
        <w:t xml:space="preserve"> [Michael; Michael S. </w:t>
      </w:r>
      <w:r>
        <w:rPr>
          <w:b w:val="0"/>
          <w:i w:val="0"/>
          <w:smallCaps w:val="0"/>
          <w:strike w:val="0"/>
          <w:u w:val="none"/>
        </w:rPr>
        <w:t>Gzybowski</w:t>
      </w:r>
      <w:r>
        <w:rPr>
          <w:b w:val="0"/>
          <w:i w:val="0"/>
          <w:smallCaps w:val="0"/>
          <w:strike w:val="0"/>
          <w:u w:val="none"/>
        </w:rPr>
        <w:t xml:space="preserve"> is Senior Counsel in Dykema’s Intellectual Property and Litigation Practice groups; “It’s Not Just COVID: Understanding the Drop in U.S. Patent Application Filings,” IP Watchdog, https://ipwatchdog.com/2022/02/09/its-not-just-covid-understanding-the-drop-in-u-s-patent-application-filings/id=145491/#, </w:t>
      </w:r>
      <w:r>
        <w:rPr>
          <w:b w:val="0"/>
          <w:i w:val="0"/>
          <w:smallCaps w:val="0"/>
          <w:strike w:val="0"/>
          <w:u w:val="none"/>
        </w:rPr>
        <w:t>wally</w:t>
      </w:r>
      <w:r>
        <w:rPr>
          <w:b w:val="0"/>
          <w:i w:val="0"/>
          <w:smallCaps w:val="0"/>
          <w:strike w:val="0"/>
          <w:u w:val="none"/>
        </w:rPr>
        <w:t>]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All things being equal, </w:t>
      </w:r>
      <w:r>
        <w:rPr>
          <w:b w:val="0"/>
          <w:i w:val="0"/>
          <w:smallCaps w:val="0"/>
          <w:strike w:val="0"/>
          <w:sz w:val="22"/>
          <w:u w:val="single"/>
        </w:rPr>
        <w:t>one would expect that the coronavirus pandemic would have the same or similar effect on patent application filings in all countries and would not cause a decrease in U.S. patent application filings while causing an increase in worldwide patent application filings.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While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coronavirus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pandemic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initially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caused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adjustments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budgeting, workforce and workplace attendance, it seems that something before the pandemic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caused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decrease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number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patent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applications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were filed in the U.S. back in 2017,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while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worldwide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patent applications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increased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5.8%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same year.</w:t>
      </w:r>
    </w:p>
    <w:p>
      <w:pPr>
        <w:pStyle w:val="Caption"/>
      </w:pPr>
      <w:r>
        <w:t>Source: PTO Tradeoff DA - Michigan 2024 BEJK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