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Increased trademark applications </w:t>
      </w:r>
      <w:r>
        <w:rPr>
          <w:b/>
          <w:i w:val="0"/>
          <w:smallCaps w:val="0"/>
          <w:strike w:val="0"/>
          <w:sz w:val="26"/>
          <w:u w:val="single"/>
        </w:rPr>
        <w:t>deck</w:t>
      </w:r>
      <w:r>
        <w:rPr>
          <w:b/>
          <w:i w:val="0"/>
          <w:smallCaps w:val="0"/>
          <w:strike w:val="0"/>
          <w:sz w:val="26"/>
          <w:u w:val="none"/>
        </w:rPr>
        <w:t xml:space="preserve"> fraud response.</w:t>
      </w:r>
    </w:p>
    <w:p>
      <w:pPr>
        <w:spacing w:after="80"/>
      </w:pPr>
      <w:r>
        <w:rPr>
          <w:b/>
          <w:i w:val="0"/>
          <w:smallCaps w:val="0"/>
          <w:strike w:val="0"/>
          <w:sz w:val="26"/>
          <w:u w:val="none"/>
        </w:rPr>
        <w:t>GAO 24</w:t>
      </w:r>
      <w:r>
        <w:rPr>
          <w:b w:val="0"/>
          <w:i w:val="0"/>
          <w:smallCaps w:val="0"/>
          <w:strike w:val="0"/>
          <w:u w:val="none"/>
        </w:rPr>
        <w:t xml:space="preserve">, Government Accountability Office, 3/2024, “Stronger Fraud Risk Management Could Improve the Integrity of the Trademark System,” https://www.gao.gov/assets/gao-24-106533.pdf, </w:t>
      </w:r>
      <w:r>
        <w:rPr>
          <w:b w:val="0"/>
          <w:i w:val="0"/>
          <w:smallCaps w:val="0"/>
          <w:strike w:val="0"/>
          <w:u w:val="none"/>
        </w:rPr>
        <w:t>oj</w:t>
      </w:r>
    </w:p>
    <w:p>
      <w:pPr>
        <w:spacing w:after="60"/>
      </w:pPr>
      <w:r>
        <w:rPr>
          <w:b w:val="0"/>
          <w:i w:val="0"/>
          <w:smallCaps w:val="0"/>
          <w:strike w:val="0"/>
          <w:u w:val="none"/>
        </w:rPr>
        <w:t xml:space="preserve">Identifying inherent fraud risks affecting the program. </w:t>
      </w:r>
      <w:r>
        <w:rPr>
          <w:b w:val="0"/>
          <w:i w:val="0"/>
          <w:smallCaps w:val="0"/>
          <w:strike w:val="0"/>
          <w:u w:val="single"/>
        </w:rPr>
        <w:t xml:space="preserve">The </w:t>
      </w:r>
      <w:r>
        <w:rPr>
          <w:b/>
          <w:i w:val="0"/>
          <w:smallCaps w:val="0"/>
          <w:strike w:val="0"/>
          <w:sz w:val="22"/>
          <w:highlight w:val="cyan"/>
          <w:u w:val="single"/>
        </w:rPr>
        <w:t>USPTO</w:t>
      </w:r>
      <w:r>
        <w:rPr>
          <w:b w:val="0"/>
          <w:i w:val="0"/>
          <w:smallCaps w:val="0"/>
          <w:strike w:val="0"/>
          <w:u w:val="single"/>
        </w:rPr>
        <w:t xml:space="preserve"> has taken steps to </w:t>
      </w:r>
      <w:r>
        <w:rPr>
          <w:b w:val="0"/>
          <w:i w:val="0"/>
          <w:smallCaps w:val="0"/>
          <w:strike w:val="0"/>
          <w:highlight w:val="cyan"/>
          <w:u w:val="single"/>
        </w:rPr>
        <w:t>identify</w:t>
      </w:r>
      <w:r>
        <w:rPr>
          <w:b w:val="0"/>
          <w:i w:val="0"/>
          <w:smallCaps w:val="0"/>
          <w:strike w:val="0"/>
          <w:u w:val="none"/>
        </w:rPr>
        <w:t xml:space="preserve"> inherent </w:t>
      </w:r>
      <w:r>
        <w:rPr>
          <w:b/>
          <w:i w:val="0"/>
          <w:smallCaps w:val="0"/>
          <w:strike w:val="0"/>
          <w:sz w:val="22"/>
          <w:highlight w:val="cyan"/>
          <w:u w:val="single"/>
        </w:rPr>
        <w:t>fraud risks</w:t>
      </w:r>
      <w:r>
        <w:rPr>
          <w:b w:val="0"/>
          <w:i w:val="0"/>
          <w:smallCaps w:val="0"/>
          <w:strike w:val="0"/>
          <w:u w:val="none"/>
        </w:rPr>
        <w:t xml:space="preserve"> from the universe of potential vulnerabilities </w:t>
      </w:r>
      <w:r>
        <w:rPr>
          <w:b w:val="0"/>
          <w:i w:val="0"/>
          <w:smallCaps w:val="0"/>
          <w:strike w:val="0"/>
          <w:highlight w:val="cyan"/>
          <w:u w:val="single"/>
        </w:rPr>
        <w:t xml:space="preserve">facing the </w:t>
      </w:r>
      <w:r>
        <w:rPr>
          <w:b/>
          <w:i w:val="0"/>
          <w:smallCaps w:val="0"/>
          <w:strike w:val="0"/>
          <w:sz w:val="22"/>
          <w:highlight w:val="cyan"/>
          <w:u w:val="single"/>
        </w:rPr>
        <w:t>trademark register</w:t>
      </w:r>
      <w:r>
        <w:rPr>
          <w:b w:val="0"/>
          <w:i w:val="0"/>
          <w:smallCaps w:val="0"/>
          <w:strike w:val="0"/>
          <w:u w:val="none"/>
        </w:rPr>
        <w:t xml:space="preserve">, including threats from various sources. USPTO </w:t>
      </w:r>
      <w:r>
        <w:rPr>
          <w:b w:val="0"/>
          <w:i w:val="0"/>
          <w:smallCaps w:val="0"/>
          <w:strike w:val="0"/>
          <w:highlight w:val="cyan"/>
          <w:u w:val="single"/>
        </w:rPr>
        <w:t>officials described</w:t>
      </w:r>
      <w:r>
        <w:rPr>
          <w:b w:val="0"/>
          <w:i w:val="0"/>
          <w:smallCaps w:val="0"/>
          <w:strike w:val="0"/>
          <w:u w:val="none"/>
        </w:rPr>
        <w:t xml:space="preserve"> two different types of fraud schemes in the trademark system: </w:t>
      </w:r>
      <w:r>
        <w:rPr>
          <w:b/>
          <w:i w:val="0"/>
          <w:smallCaps w:val="0"/>
          <w:strike w:val="0"/>
          <w:sz w:val="22"/>
          <w:highlight w:val="cyan"/>
          <w:u w:val="single"/>
        </w:rPr>
        <w:t>filing mills</w:t>
      </w:r>
      <w:r>
        <w:rPr>
          <w:b w:val="0"/>
          <w:i w:val="0"/>
          <w:smallCaps w:val="0"/>
          <w:strike w:val="0"/>
          <w:highlight w:val="cyan"/>
          <w:u w:val="single"/>
        </w:rPr>
        <w:t xml:space="preserve"> and </w:t>
      </w:r>
      <w:r>
        <w:rPr>
          <w:b/>
          <w:i w:val="0"/>
          <w:smallCaps w:val="0"/>
          <w:strike w:val="0"/>
          <w:sz w:val="22"/>
          <w:highlight w:val="cyan"/>
          <w:u w:val="single"/>
        </w:rPr>
        <w:t>criminal groups</w:t>
      </w:r>
      <w:r>
        <w:rPr>
          <w:b w:val="0"/>
          <w:i w:val="0"/>
          <w:smallCaps w:val="0"/>
          <w:strike w:val="0"/>
          <w:u w:val="none"/>
        </w:rPr>
        <w:t xml:space="preserve">. Filing mills are a common scheme in which companies file thousands of trademark applications, without any actual use, to receive trademark registrations that can subsequently be resold for a profit to those seeking access to the U.S market on ecommerce websites. Another common scheme involves </w:t>
      </w:r>
      <w:r>
        <w:rPr>
          <w:b w:val="0"/>
          <w:i w:val="0"/>
          <w:smallCaps w:val="0"/>
          <w:strike w:val="0"/>
          <w:highlight w:val="cyan"/>
          <w:u w:val="single"/>
        </w:rPr>
        <w:t xml:space="preserve">criminal groups </w:t>
      </w:r>
      <w:r>
        <w:rPr>
          <w:b/>
          <w:i w:val="0"/>
          <w:smallCaps w:val="0"/>
          <w:strike w:val="0"/>
          <w:sz w:val="22"/>
          <w:highlight w:val="cyan"/>
          <w:u w:val="single"/>
        </w:rPr>
        <w:t>pos</w:t>
      </w:r>
      <w:r>
        <w:rPr>
          <w:b/>
          <w:i w:val="0"/>
          <w:smallCaps w:val="0"/>
          <w:strike w:val="0"/>
          <w:sz w:val="22"/>
          <w:u w:val="single"/>
        </w:rPr>
        <w:t>ing</w:t>
      </w:r>
      <w:r>
        <w:rPr>
          <w:b w:val="0"/>
          <w:i w:val="0"/>
          <w:smallCaps w:val="0"/>
          <w:strike w:val="0"/>
          <w:u w:val="single"/>
        </w:rPr>
        <w:t xml:space="preserve"> </w:t>
      </w:r>
      <w:r>
        <w:rPr>
          <w:b w:val="0"/>
          <w:i w:val="0"/>
          <w:smallCaps w:val="0"/>
          <w:strike w:val="0"/>
          <w:highlight w:val="cyan"/>
          <w:u w:val="single"/>
        </w:rPr>
        <w:t xml:space="preserve">as the USPTO to </w:t>
      </w:r>
      <w:r>
        <w:rPr>
          <w:b/>
          <w:i w:val="0"/>
          <w:smallCaps w:val="0"/>
          <w:strike w:val="0"/>
          <w:sz w:val="22"/>
          <w:highlight w:val="cyan"/>
          <w:u w:val="single"/>
        </w:rPr>
        <w:t>fraudulently request</w:t>
      </w:r>
      <w:r>
        <w:rPr>
          <w:b w:val="0"/>
          <w:i w:val="0"/>
          <w:smallCaps w:val="0"/>
          <w:strike w:val="0"/>
          <w:highlight w:val="cyan"/>
          <w:u w:val="single"/>
        </w:rPr>
        <w:t xml:space="preserve"> money from</w:t>
      </w:r>
      <w:r>
        <w:rPr>
          <w:b w:val="0"/>
          <w:i w:val="0"/>
          <w:smallCaps w:val="0"/>
          <w:strike w:val="0"/>
          <w:u w:val="single"/>
        </w:rPr>
        <w:t xml:space="preserve"> trademark </w:t>
      </w:r>
      <w:r>
        <w:rPr>
          <w:b w:val="0"/>
          <w:i w:val="0"/>
          <w:smallCaps w:val="0"/>
          <w:strike w:val="0"/>
          <w:highlight w:val="cyan"/>
          <w:u w:val="single"/>
        </w:rPr>
        <w:t xml:space="preserve">owners or </w:t>
      </w:r>
      <w:r>
        <w:rPr>
          <w:b/>
          <w:i w:val="0"/>
          <w:smallCaps w:val="0"/>
          <w:strike w:val="0"/>
          <w:sz w:val="22"/>
          <w:highlight w:val="cyan"/>
          <w:u w:val="single"/>
        </w:rPr>
        <w:t>steal</w:t>
      </w:r>
      <w:r>
        <w:rPr>
          <w:b w:val="0"/>
          <w:i w:val="0"/>
          <w:smallCaps w:val="0"/>
          <w:strike w:val="0"/>
          <w:u w:val="single"/>
        </w:rPr>
        <w:t xml:space="preserve"> client account </w:t>
      </w:r>
      <w:r>
        <w:rPr>
          <w:b w:val="0"/>
          <w:i w:val="0"/>
          <w:smallCaps w:val="0"/>
          <w:strike w:val="0"/>
          <w:highlight w:val="cyan"/>
          <w:u w:val="single"/>
        </w:rPr>
        <w:t>info</w:t>
      </w:r>
      <w:r>
        <w:rPr>
          <w:b w:val="0"/>
          <w:i w:val="0"/>
          <w:smallCaps w:val="0"/>
          <w:strike w:val="0"/>
          <w:u w:val="single"/>
        </w:rPr>
        <w:t>rmation</w:t>
      </w:r>
      <w:r>
        <w:rPr>
          <w:b w:val="0"/>
          <w:i w:val="0"/>
          <w:smallCaps w:val="0"/>
          <w:strike w:val="0"/>
          <w:u w:val="none"/>
        </w:rPr>
        <w:t xml:space="preserve">. According to USPTO officials, most of the agency’s current fraud monitoring activities are ad hoc and include monitoring internal sources like the TMscams@USPTO.gov inbox, where applicants, registrants, and attorneys that have encountered potentially fraudulent behavior can submit complaints to the agency, and external sources like trade publications such as the World Trademark Review. Agency officials said that </w:t>
      </w:r>
      <w:r>
        <w:rPr>
          <w:b w:val="0"/>
          <w:i w:val="0"/>
          <w:smallCaps w:val="0"/>
          <w:strike w:val="0"/>
          <w:highlight w:val="cyan"/>
          <w:u w:val="single"/>
        </w:rPr>
        <w:t xml:space="preserve">the </w:t>
      </w:r>
      <w:r>
        <w:rPr>
          <w:b/>
          <w:i w:val="0"/>
          <w:smallCaps w:val="0"/>
          <w:strike w:val="0"/>
          <w:sz w:val="22"/>
          <w:highlight w:val="cyan"/>
          <w:u w:val="single"/>
        </w:rPr>
        <w:t>high volume</w:t>
      </w:r>
      <w:r>
        <w:rPr>
          <w:b w:val="0"/>
          <w:i w:val="0"/>
          <w:smallCaps w:val="0"/>
          <w:strike w:val="0"/>
          <w:highlight w:val="cyan"/>
          <w:u w:val="single"/>
        </w:rPr>
        <w:t xml:space="preserve"> of </w:t>
      </w:r>
      <w:r>
        <w:rPr>
          <w:b/>
          <w:i w:val="0"/>
          <w:smallCaps w:val="0"/>
          <w:strike w:val="0"/>
          <w:sz w:val="22"/>
          <w:highlight w:val="cyan"/>
          <w:u w:val="single"/>
        </w:rPr>
        <w:t>trademark app</w:t>
      </w:r>
      <w:r>
        <w:rPr>
          <w:b w:val="0"/>
          <w:i w:val="0"/>
          <w:smallCaps w:val="0"/>
          <w:strike w:val="0"/>
          <w:u w:val="single"/>
        </w:rPr>
        <w:t>lication</w:t>
      </w:r>
      <w:r>
        <w:rPr>
          <w:b/>
          <w:i w:val="0"/>
          <w:smallCaps w:val="0"/>
          <w:strike w:val="0"/>
          <w:sz w:val="22"/>
          <w:highlight w:val="cyan"/>
          <w:u w:val="single"/>
        </w:rPr>
        <w:t>s</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constantly </w:t>
      </w:r>
      <w:r>
        <w:rPr>
          <w:b/>
          <w:i w:val="0"/>
          <w:smallCaps w:val="0"/>
          <w:strike w:val="0"/>
          <w:sz w:val="22"/>
          <w:highlight w:val="cyan"/>
          <w:u w:val="single"/>
        </w:rPr>
        <w:t>changing fraud</w:t>
      </w:r>
      <w:r>
        <w:rPr>
          <w:b w:val="0"/>
          <w:i w:val="0"/>
          <w:smallCaps w:val="0"/>
          <w:strike w:val="0"/>
          <w:highlight w:val="cyan"/>
          <w:u w:val="single"/>
        </w:rPr>
        <w:t xml:space="preserve"> schemes make </w:t>
      </w:r>
      <w:r>
        <w:rPr>
          <w:b/>
          <w:i w:val="0"/>
          <w:smallCaps w:val="0"/>
          <w:strike w:val="0"/>
          <w:sz w:val="22"/>
          <w:highlight w:val="cyan"/>
          <w:u w:val="single"/>
        </w:rPr>
        <w:t>assessing</w:t>
      </w:r>
      <w:r>
        <w:rPr>
          <w:b w:val="0"/>
          <w:i w:val="0"/>
          <w:smallCaps w:val="0"/>
          <w:strike w:val="0"/>
          <w:u w:val="single"/>
        </w:rPr>
        <w:t xml:space="preserve"> fraud </w:t>
      </w:r>
      <w:r>
        <w:rPr>
          <w:b w:val="0"/>
          <w:i w:val="0"/>
          <w:smallCaps w:val="0"/>
          <w:strike w:val="0"/>
          <w:highlight w:val="cyan"/>
          <w:u w:val="single"/>
        </w:rPr>
        <w:t>risks</w:t>
      </w:r>
      <w:r>
        <w:rPr>
          <w:b w:val="0"/>
          <w:i w:val="0"/>
          <w:smallCaps w:val="0"/>
          <w:strike w:val="0"/>
          <w:u w:val="single"/>
        </w:rPr>
        <w:t xml:space="preserve"> to the trademark register </w:t>
      </w:r>
      <w:r>
        <w:rPr>
          <w:b/>
          <w:i w:val="0"/>
          <w:smallCaps w:val="0"/>
          <w:strike w:val="0"/>
          <w:sz w:val="22"/>
          <w:highlight w:val="cyan"/>
          <w:u w:val="single"/>
        </w:rPr>
        <w:t>difficult</w:t>
      </w:r>
      <w:r>
        <w:rPr>
          <w:b w:val="0"/>
          <w:i w:val="0"/>
          <w:smallCaps w:val="0"/>
          <w:strike w:val="0"/>
          <w:highlight w:val="cyan"/>
          <w:u w:val="single"/>
        </w:rPr>
        <w:t xml:space="preserve">, especially with </w:t>
      </w:r>
      <w:r>
        <w:rPr>
          <w:b/>
          <w:i w:val="0"/>
          <w:smallCaps w:val="0"/>
          <w:strike w:val="0"/>
          <w:sz w:val="22"/>
          <w:highlight w:val="cyan"/>
          <w:u w:val="single"/>
        </w:rPr>
        <w:t>limited resources</w:t>
      </w:r>
      <w:r>
        <w:rPr>
          <w:b w:val="0"/>
          <w:i w:val="0"/>
          <w:smallCaps w:val="0"/>
          <w:strike w:val="0"/>
          <w:highlight w:val="cyan"/>
          <w:u w:val="single"/>
        </w:rPr>
        <w:t>.</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