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Resources are </w:t>
      </w:r>
      <w:r>
        <w:rPr>
          <w:b/>
          <w:i w:val="0"/>
          <w:smallCaps w:val="0"/>
          <w:strike w:val="0"/>
          <w:sz w:val="26"/>
          <w:u w:val="single"/>
        </w:rPr>
        <w:t>finite</w:t>
      </w:r>
      <w:r>
        <w:rPr>
          <w:b/>
          <w:i w:val="0"/>
          <w:smallCaps w:val="0"/>
          <w:strike w:val="0"/>
          <w:sz w:val="26"/>
          <w:u w:val="none"/>
        </w:rPr>
        <w:t>.</w:t>
      </w:r>
    </w:p>
    <w:p>
      <w:pPr>
        <w:spacing w:after="80"/>
      </w:pPr>
      <w:r>
        <w:rPr>
          <w:b w:val="0"/>
          <w:i w:val="0"/>
          <w:smallCaps w:val="0"/>
          <w:strike w:val="0"/>
          <w:u w:val="none"/>
        </w:rPr>
        <w:t xml:space="preserve">Greg </w:t>
      </w:r>
      <w:r>
        <w:rPr>
          <w:b/>
          <w:i w:val="0"/>
          <w:smallCaps w:val="0"/>
          <w:strike w:val="0"/>
          <w:sz w:val="26"/>
          <w:u w:val="none"/>
        </w:rPr>
        <w:t>Reilly 20</w:t>
      </w:r>
      <w:r>
        <w:rPr>
          <w:b w:val="0"/>
          <w:i w:val="0"/>
          <w:smallCaps w:val="0"/>
          <w:strike w:val="0"/>
          <w:u w:val="none"/>
        </w:rPr>
        <w:t xml:space="preserve">, Assistant Professor of Law, Chicago-Kent College of Law, 2020, “The Complicated Relationship of Patent Examination and Invalidation,” </w:t>
      </w:r>
      <w:r>
        <w:rPr>
          <w:b w:val="0"/>
          <w:i/>
          <w:smallCaps w:val="0"/>
          <w:strike w:val="0"/>
          <w:u w:val="none"/>
        </w:rPr>
        <w:t>American University Law Review</w:t>
      </w:r>
      <w:r>
        <w:rPr>
          <w:b w:val="0"/>
          <w:i w:val="0"/>
          <w:smallCaps w:val="0"/>
          <w:strike w:val="0"/>
          <w:u w:val="none"/>
        </w:rPr>
        <w:t xml:space="preserve">, https://aulawreview.org/blog/the-complicated-relationship-of-patent-examination-and-invalidation/, </w:t>
      </w:r>
      <w:r>
        <w:rPr>
          <w:b w:val="0"/>
          <w:i w:val="0"/>
          <w:smallCaps w:val="0"/>
          <w:strike w:val="0"/>
          <w:u w:val="none"/>
        </w:rPr>
        <w:t>oj</w:t>
      </w:r>
    </w:p>
    <w:p>
      <w:pPr>
        <w:spacing w:after="60"/>
      </w:pPr>
      <w:r>
        <w:rPr>
          <w:b w:val="0"/>
          <w:i w:val="0"/>
          <w:smallCaps w:val="0"/>
          <w:strike w:val="0"/>
          <w:u w:val="none"/>
        </w:rPr>
        <w:t xml:space="preserve">Most commonly, </w:t>
      </w:r>
      <w:r>
        <w:rPr>
          <w:b w:val="0"/>
          <w:i w:val="0"/>
          <w:smallCaps w:val="0"/>
          <w:strike w:val="0"/>
          <w:u w:val="single"/>
        </w:rPr>
        <w:t xml:space="preserve">the </w:t>
      </w:r>
      <w:r>
        <w:rPr>
          <w:b w:val="0"/>
          <w:i w:val="0"/>
          <w:smallCaps w:val="0"/>
          <w:strike w:val="0"/>
          <w:highlight w:val="cyan"/>
          <w:u w:val="single"/>
        </w:rPr>
        <w:t>Patent Office’s</w:t>
      </w:r>
      <w:r>
        <w:rPr>
          <w:b w:val="0"/>
          <w:i w:val="0"/>
          <w:smallCaps w:val="0"/>
          <w:strike w:val="0"/>
          <w:u w:val="single"/>
        </w:rPr>
        <w:t xml:space="preserve"> examination </w:t>
      </w:r>
      <w:r>
        <w:rPr>
          <w:b/>
          <w:i w:val="0"/>
          <w:smallCaps w:val="0"/>
          <w:strike w:val="0"/>
          <w:sz w:val="22"/>
          <w:highlight w:val="cyan"/>
          <w:u w:val="single"/>
        </w:rPr>
        <w:t>problems</w:t>
      </w:r>
      <w:r>
        <w:rPr>
          <w:b w:val="0"/>
          <w:i w:val="0"/>
          <w:smallCaps w:val="0"/>
          <w:strike w:val="0"/>
          <w:highlight w:val="cyan"/>
          <w:u w:val="single"/>
        </w:rPr>
        <w:t xml:space="preserve"> are attributed to</w:t>
      </w:r>
      <w:r>
        <w:rPr>
          <w:b w:val="0"/>
          <w:i w:val="0"/>
          <w:smallCaps w:val="0"/>
          <w:strike w:val="0"/>
          <w:u w:val="single"/>
        </w:rPr>
        <w:t xml:space="preserve"> the </w:t>
      </w:r>
      <w:r>
        <w:rPr>
          <w:b/>
          <w:i w:val="0"/>
          <w:smallCaps w:val="0"/>
          <w:strike w:val="0"/>
          <w:sz w:val="22"/>
          <w:highlight w:val="cyan"/>
          <w:u w:val="single"/>
        </w:rPr>
        <w:t>resource constraints</w:t>
      </w:r>
      <w:r>
        <w:rPr>
          <w:b w:val="0"/>
          <w:i w:val="0"/>
          <w:smallCaps w:val="0"/>
          <w:strike w:val="0"/>
          <w:u w:val="single"/>
        </w:rPr>
        <w:t xml:space="preserve"> </w:t>
      </w:r>
      <w:r>
        <w:rPr>
          <w:b w:val="0"/>
          <w:i w:val="0"/>
          <w:smallCaps w:val="0"/>
          <w:strike w:val="0"/>
          <w:u w:val="none"/>
        </w:rPr>
        <w:t>faced by the Patent Office—</w:t>
      </w:r>
      <w:r>
        <w:rPr>
          <w:b/>
          <w:i w:val="0"/>
          <w:smallCaps w:val="0"/>
          <w:strike w:val="0"/>
          <w:sz w:val="22"/>
          <w:highlight w:val="cyan"/>
          <w:u w:val="single"/>
        </w:rPr>
        <w:t>finite resources</w:t>
      </w:r>
      <w:r>
        <w:rPr>
          <w:b w:val="0"/>
          <w:i w:val="0"/>
          <w:smallCaps w:val="0"/>
          <w:strike w:val="0"/>
          <w:highlight w:val="cyan"/>
          <w:u w:val="single"/>
        </w:rPr>
        <w:t xml:space="preserve">, a </w:t>
      </w:r>
      <w:r>
        <w:rPr>
          <w:b/>
          <w:i w:val="0"/>
          <w:smallCaps w:val="0"/>
          <w:strike w:val="0"/>
          <w:sz w:val="22"/>
          <w:highlight w:val="cyan"/>
          <w:u w:val="single"/>
        </w:rPr>
        <w:t>high volume</w:t>
      </w:r>
      <w:r>
        <w:rPr>
          <w:b w:val="0"/>
          <w:i w:val="0"/>
          <w:smallCaps w:val="0"/>
          <w:strike w:val="0"/>
          <w:highlight w:val="cyan"/>
          <w:u w:val="single"/>
        </w:rPr>
        <w:t xml:space="preserve"> of</w:t>
      </w:r>
      <w:r>
        <w:rPr>
          <w:b w:val="0"/>
          <w:i w:val="0"/>
          <w:smallCaps w:val="0"/>
          <w:strike w:val="0"/>
          <w:u w:val="single"/>
        </w:rPr>
        <w:t xml:space="preserve"> patent </w:t>
      </w:r>
      <w:r>
        <w:rPr>
          <w:b w:val="0"/>
          <w:i w:val="0"/>
          <w:smallCaps w:val="0"/>
          <w:strike w:val="0"/>
          <w:highlight w:val="cyan"/>
          <w:u w:val="single"/>
        </w:rPr>
        <w:t xml:space="preserve">applications, and </w:t>
      </w:r>
      <w:r>
        <w:rPr>
          <w:b/>
          <w:i w:val="0"/>
          <w:smallCaps w:val="0"/>
          <w:strike w:val="0"/>
          <w:sz w:val="22"/>
          <w:highlight w:val="cyan"/>
          <w:u w:val="single"/>
        </w:rPr>
        <w:t>difficulty hiring</w:t>
      </w:r>
      <w:r>
        <w:rPr>
          <w:b w:val="0"/>
          <w:i w:val="0"/>
          <w:smallCaps w:val="0"/>
          <w:strike w:val="0"/>
          <w:u w:val="single"/>
        </w:rPr>
        <w:t xml:space="preserve"> a large number of </w:t>
      </w:r>
      <w:r>
        <w:rPr>
          <w:b/>
          <w:i w:val="0"/>
          <w:smallCaps w:val="0"/>
          <w:strike w:val="0"/>
          <w:sz w:val="22"/>
          <w:u w:val="single"/>
        </w:rPr>
        <w:t>high-quality</w:t>
      </w:r>
      <w:r>
        <w:rPr>
          <w:b w:val="0"/>
          <w:i w:val="0"/>
          <w:smallCaps w:val="0"/>
          <w:strike w:val="0"/>
          <w:u w:val="single"/>
        </w:rPr>
        <w:t xml:space="preserve"> examiners</w:t>
      </w:r>
      <w:r>
        <w:rPr>
          <w:b w:val="0"/>
          <w:i w:val="0"/>
          <w:smallCaps w:val="0"/>
          <w:strike w:val="0"/>
          <w:u w:val="none"/>
        </w:rPr>
        <w:t xml:space="preserve">.89 </w:t>
      </w:r>
      <w:r>
        <w:rPr>
          <w:b w:val="0"/>
          <w:i w:val="0"/>
          <w:smallCaps w:val="0"/>
          <w:strike w:val="0"/>
          <w:highlight w:val="cyan"/>
          <w:u w:val="single"/>
        </w:rPr>
        <w:t>Examiners</w:t>
      </w:r>
      <w:r>
        <w:rPr>
          <w:b w:val="0"/>
          <w:i w:val="0"/>
          <w:smallCaps w:val="0"/>
          <w:strike w:val="0"/>
          <w:u w:val="none"/>
        </w:rPr>
        <w:t xml:space="preserve"> thus </w:t>
      </w:r>
      <w:r>
        <w:rPr>
          <w:b w:val="0"/>
          <w:i w:val="0"/>
          <w:smallCaps w:val="0"/>
          <w:strike w:val="0"/>
          <w:highlight w:val="cyan"/>
          <w:u w:val="single"/>
        </w:rPr>
        <w:t>only</w:t>
      </w:r>
      <w:r>
        <w:rPr>
          <w:b w:val="0"/>
          <w:i w:val="0"/>
          <w:smallCaps w:val="0"/>
          <w:strike w:val="0"/>
          <w:u w:val="single"/>
        </w:rPr>
        <w:t xml:space="preserve"> </w:t>
      </w:r>
      <w:r>
        <w:rPr>
          <w:b w:val="0"/>
          <w:i w:val="0"/>
          <w:smallCaps w:val="0"/>
          <w:strike w:val="0"/>
          <w:highlight w:val="cyan"/>
          <w:u w:val="single"/>
        </w:rPr>
        <w:t>have</w:t>
      </w:r>
      <w:r>
        <w:rPr>
          <w:b w:val="0"/>
          <w:i w:val="0"/>
          <w:smallCaps w:val="0"/>
          <w:strike w:val="0"/>
          <w:u w:val="none"/>
        </w:rPr>
        <w:t xml:space="preserve"> approximately </w:t>
      </w:r>
      <w:r>
        <w:rPr>
          <w:b/>
          <w:i w:val="0"/>
          <w:smallCaps w:val="0"/>
          <w:strike w:val="0"/>
          <w:sz w:val="22"/>
          <w:highlight w:val="cyan"/>
          <w:u w:val="single"/>
        </w:rPr>
        <w:t>twenty hours</w:t>
      </w:r>
      <w:r>
        <w:rPr>
          <w:b w:val="0"/>
          <w:i w:val="0"/>
          <w:smallCaps w:val="0"/>
          <w:strike w:val="0"/>
          <w:highlight w:val="cyan"/>
          <w:u w:val="single"/>
        </w:rPr>
        <w:t xml:space="preserve"> per</w:t>
      </w:r>
      <w:r>
        <w:rPr>
          <w:b w:val="0"/>
          <w:i w:val="0"/>
          <w:smallCaps w:val="0"/>
          <w:strike w:val="0"/>
          <w:u w:val="single"/>
        </w:rPr>
        <w:t xml:space="preserve"> </w:t>
      </w:r>
      <w:r>
        <w:rPr>
          <w:b w:val="0"/>
          <w:i w:val="0"/>
          <w:smallCaps w:val="0"/>
          <w:strike w:val="0"/>
          <w:highlight w:val="cyan"/>
          <w:u w:val="single"/>
        </w:rPr>
        <w:t>application</w:t>
      </w:r>
      <w:r>
        <w:rPr>
          <w:b w:val="0"/>
          <w:i w:val="0"/>
          <w:smallCaps w:val="0"/>
          <w:strike w:val="0"/>
          <w:u w:val="none"/>
        </w:rPr>
        <w:t xml:space="preserve"> for all of the tasks of examination: </w:t>
      </w:r>
      <w:r>
        <w:rPr>
          <w:b w:val="0"/>
          <w:i w:val="0"/>
          <w:smallCaps w:val="0"/>
          <w:strike w:val="0"/>
          <w:sz w:val="22"/>
          <w:highlight w:val="cyan"/>
          <w:u w:val="single"/>
        </w:rPr>
        <w:t>reviewing</w:t>
      </w:r>
      <w:r>
        <w:rPr>
          <w:b w:val="0"/>
          <w:i w:val="0"/>
          <w:smallCaps w:val="0"/>
          <w:strike w:val="0"/>
          <w:sz w:val="22"/>
          <w:u w:val="single"/>
        </w:rPr>
        <w:t xml:space="preserve"> the </w:t>
      </w:r>
      <w:r>
        <w:rPr>
          <w:b w:val="0"/>
          <w:i w:val="0"/>
          <w:smallCaps w:val="0"/>
          <w:strike w:val="0"/>
          <w:sz w:val="22"/>
          <w:highlight w:val="cyan"/>
          <w:u w:val="single"/>
        </w:rPr>
        <w:t>application</w:t>
      </w:r>
      <w:r>
        <w:rPr>
          <w:b w:val="0"/>
          <w:i w:val="0"/>
          <w:smallCaps w:val="0"/>
          <w:strike w:val="0"/>
          <w:sz w:val="22"/>
          <w:u w:val="single"/>
        </w:rPr>
        <w:t xml:space="preserve">, </w:t>
      </w:r>
      <w:r>
        <w:rPr>
          <w:b/>
          <w:i w:val="0"/>
          <w:smallCaps w:val="0"/>
          <w:strike w:val="0"/>
          <w:sz w:val="22"/>
          <w:highlight w:val="cyan"/>
          <w:u w:val="single"/>
        </w:rPr>
        <w:t>conducting</w:t>
      </w:r>
      <w:r>
        <w:rPr>
          <w:b w:val="0"/>
          <w:i w:val="0"/>
          <w:smallCaps w:val="0"/>
          <w:strike w:val="0"/>
          <w:sz w:val="22"/>
          <w:u w:val="single"/>
        </w:rPr>
        <w:t xml:space="preserve"> a prior </w:t>
      </w:r>
      <w:r>
        <w:rPr>
          <w:b w:val="0"/>
          <w:i w:val="0"/>
          <w:smallCaps w:val="0"/>
          <w:strike w:val="0"/>
          <w:sz w:val="22"/>
          <w:highlight w:val="cyan"/>
          <w:u w:val="single"/>
        </w:rPr>
        <w:t xml:space="preserve">art </w:t>
      </w:r>
      <w:r>
        <w:rPr>
          <w:b/>
          <w:i w:val="0"/>
          <w:smallCaps w:val="0"/>
          <w:strike w:val="0"/>
          <w:sz w:val="22"/>
          <w:highlight w:val="cyan"/>
          <w:u w:val="single"/>
        </w:rPr>
        <w:t>search</w:t>
      </w:r>
      <w:r>
        <w:rPr>
          <w:b w:val="0"/>
          <w:i w:val="0"/>
          <w:smallCaps w:val="0"/>
          <w:strike w:val="0"/>
          <w:sz w:val="22"/>
          <w:highlight w:val="cyan"/>
          <w:u w:val="single"/>
        </w:rPr>
        <w:t>,</w:t>
      </w:r>
      <w:r>
        <w:rPr>
          <w:b w:val="0"/>
          <w:i w:val="0"/>
          <w:smallCaps w:val="0"/>
          <w:strike w:val="0"/>
          <w:sz w:val="22"/>
          <w:u w:val="single"/>
        </w:rPr>
        <w:t xml:space="preserve"> </w:t>
      </w:r>
      <w:r>
        <w:rPr>
          <w:b w:val="0"/>
          <w:i w:val="0"/>
          <w:smallCaps w:val="0"/>
          <w:strike w:val="0"/>
          <w:sz w:val="22"/>
          <w:highlight w:val="cyan"/>
          <w:u w:val="single"/>
        </w:rPr>
        <w:t>comparing</w:t>
      </w:r>
      <w:r>
        <w:rPr>
          <w:b w:val="0"/>
          <w:i w:val="0"/>
          <w:smallCaps w:val="0"/>
          <w:strike w:val="0"/>
          <w:sz w:val="22"/>
          <w:u w:val="single"/>
        </w:rPr>
        <w:t xml:space="preserve"> the prior </w:t>
      </w:r>
      <w:r>
        <w:rPr>
          <w:b w:val="0"/>
          <w:i w:val="0"/>
          <w:smallCaps w:val="0"/>
          <w:strike w:val="0"/>
          <w:sz w:val="22"/>
          <w:highlight w:val="cyan"/>
          <w:u w:val="single"/>
        </w:rPr>
        <w:t>art</w:t>
      </w:r>
      <w:r>
        <w:rPr>
          <w:b w:val="0"/>
          <w:i w:val="0"/>
          <w:smallCaps w:val="0"/>
          <w:strike w:val="0"/>
          <w:sz w:val="22"/>
          <w:u w:val="single"/>
        </w:rPr>
        <w:t xml:space="preserve"> </w:t>
      </w:r>
      <w:r>
        <w:rPr>
          <w:b w:val="0"/>
          <w:i w:val="0"/>
          <w:smallCaps w:val="0"/>
          <w:strike w:val="0"/>
          <w:sz w:val="22"/>
          <w:highlight w:val="cyan"/>
          <w:u w:val="single"/>
        </w:rPr>
        <w:t>to</w:t>
      </w:r>
      <w:r>
        <w:rPr>
          <w:b w:val="0"/>
          <w:i w:val="0"/>
          <w:smallCaps w:val="0"/>
          <w:strike w:val="0"/>
          <w:sz w:val="22"/>
          <w:u w:val="single"/>
        </w:rPr>
        <w:t xml:space="preserve"> the </w:t>
      </w:r>
      <w:r>
        <w:rPr>
          <w:b w:val="0"/>
          <w:i w:val="0"/>
          <w:smallCaps w:val="0"/>
          <w:strike w:val="0"/>
          <w:sz w:val="22"/>
          <w:highlight w:val="cyan"/>
          <w:u w:val="single"/>
        </w:rPr>
        <w:t>claimed invention</w:t>
      </w:r>
      <w:r>
        <w:rPr>
          <w:b w:val="0"/>
          <w:i w:val="0"/>
          <w:smallCaps w:val="0"/>
          <w:strike w:val="0"/>
          <w:sz w:val="22"/>
          <w:u w:val="single"/>
        </w:rPr>
        <w:t xml:space="preserve">, </w:t>
      </w:r>
      <w:r>
        <w:rPr>
          <w:b/>
          <w:i w:val="0"/>
          <w:smallCaps w:val="0"/>
          <w:strike w:val="0"/>
          <w:sz w:val="22"/>
          <w:highlight w:val="cyan"/>
          <w:u w:val="single"/>
        </w:rPr>
        <w:t>drafting</w:t>
      </w:r>
      <w:r>
        <w:rPr>
          <w:b w:val="0"/>
          <w:i w:val="0"/>
          <w:smallCaps w:val="0"/>
          <w:strike w:val="0"/>
          <w:sz w:val="22"/>
          <w:u w:val="single"/>
        </w:rPr>
        <w:t xml:space="preserve"> one or more </w:t>
      </w:r>
      <w:r>
        <w:rPr>
          <w:b/>
          <w:i w:val="0"/>
          <w:smallCaps w:val="0"/>
          <w:strike w:val="0"/>
          <w:sz w:val="22"/>
          <w:highlight w:val="cyan"/>
          <w:u w:val="single"/>
        </w:rPr>
        <w:t>office actions</w:t>
      </w:r>
      <w:r>
        <w:rPr>
          <w:b w:val="0"/>
          <w:i w:val="0"/>
          <w:smallCaps w:val="0"/>
          <w:strike w:val="0"/>
          <w:sz w:val="22"/>
          <w:u w:val="single"/>
        </w:rPr>
        <w:t xml:space="preserve">, </w:t>
      </w:r>
      <w:r>
        <w:rPr>
          <w:b w:val="0"/>
          <w:i w:val="0"/>
          <w:smallCaps w:val="0"/>
          <w:strike w:val="0"/>
          <w:sz w:val="22"/>
          <w:highlight w:val="cyan"/>
          <w:u w:val="single"/>
        </w:rPr>
        <w:t>responding</w:t>
      </w:r>
      <w:r>
        <w:rPr>
          <w:b w:val="0"/>
          <w:i w:val="0"/>
          <w:smallCaps w:val="0"/>
          <w:strike w:val="0"/>
          <w:sz w:val="22"/>
          <w:u w:val="single"/>
        </w:rPr>
        <w:t xml:space="preserve"> </w:t>
      </w:r>
      <w:r>
        <w:rPr>
          <w:b w:val="0"/>
          <w:i w:val="0"/>
          <w:smallCaps w:val="0"/>
          <w:strike w:val="0"/>
          <w:sz w:val="22"/>
          <w:highlight w:val="cyan"/>
          <w:u w:val="single"/>
        </w:rPr>
        <w:t>to</w:t>
      </w:r>
      <w:r>
        <w:rPr>
          <w:b w:val="0"/>
          <w:i w:val="0"/>
          <w:smallCaps w:val="0"/>
          <w:strike w:val="0"/>
          <w:sz w:val="22"/>
          <w:u w:val="single"/>
        </w:rPr>
        <w:t xml:space="preserve"> the applicant’s </w:t>
      </w:r>
      <w:r>
        <w:rPr>
          <w:b w:val="0"/>
          <w:i w:val="0"/>
          <w:smallCaps w:val="0"/>
          <w:strike w:val="0"/>
          <w:sz w:val="22"/>
          <w:highlight w:val="cyan"/>
          <w:u w:val="single"/>
        </w:rPr>
        <w:t>arguments</w:t>
      </w:r>
      <w:r>
        <w:rPr>
          <w:b w:val="0"/>
          <w:i w:val="0"/>
          <w:smallCaps w:val="0"/>
          <w:strike w:val="0"/>
          <w:sz w:val="22"/>
          <w:u w:val="single"/>
        </w:rPr>
        <w:t xml:space="preserve">, evaluating any amendments, and potentially holding an </w:t>
      </w:r>
      <w:r>
        <w:rPr>
          <w:b w:val="0"/>
          <w:i w:val="0"/>
          <w:smallCaps w:val="0"/>
          <w:strike w:val="0"/>
          <w:sz w:val="22"/>
          <w:highlight w:val="cyan"/>
          <w:u w:val="single"/>
        </w:rPr>
        <w:t>interview</w:t>
      </w:r>
      <w:r>
        <w:rPr>
          <w:b w:val="0"/>
          <w:i w:val="0"/>
          <w:smallCaps w:val="0"/>
          <w:strike w:val="0"/>
          <w:sz w:val="22"/>
          <w:u w:val="single"/>
        </w:rPr>
        <w:t xml:space="preserve"> </w:t>
      </w:r>
      <w:r>
        <w:rPr>
          <w:b w:val="0"/>
          <w:i w:val="0"/>
          <w:smallCaps w:val="0"/>
          <w:strike w:val="0"/>
          <w:sz w:val="22"/>
          <w:highlight w:val="cyan"/>
          <w:u w:val="single"/>
        </w:rPr>
        <w:t>with</w:t>
      </w:r>
      <w:r>
        <w:rPr>
          <w:b w:val="0"/>
          <w:i w:val="0"/>
          <w:smallCaps w:val="0"/>
          <w:strike w:val="0"/>
          <w:sz w:val="22"/>
          <w:u w:val="single"/>
        </w:rPr>
        <w:t xml:space="preserve"> the applicant’s </w:t>
      </w:r>
      <w:r>
        <w:rPr>
          <w:b/>
          <w:i w:val="0"/>
          <w:smallCaps w:val="0"/>
          <w:strike w:val="0"/>
          <w:sz w:val="22"/>
          <w:highlight w:val="cyan"/>
          <w:u w:val="single"/>
        </w:rPr>
        <w:t>attorney</w:t>
      </w:r>
      <w:r>
        <w:rPr>
          <w:b w:val="0"/>
          <w:i w:val="0"/>
          <w:smallCaps w:val="0"/>
          <w:strike w:val="0"/>
          <w:sz w:val="22"/>
          <w:u w:val="single"/>
        </w:rPr>
        <w:t>.90 Even patent examiners acknowledge this amount of time is insufficient for a quality examination.91 Insufficient examination time is likely to generate patent grants for claimed inventions that fail the statutory criteria of patentability because the presumption of patentability means that the patent issues unless the examiner, within the time allotted, can establish and explain its unpatentability.92</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