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PTO is massively backlogged. </w:t>
      </w:r>
    </w:p>
    <w:p>
      <w:pPr>
        <w:spacing w:after="80"/>
      </w:pPr>
      <w:r>
        <w:rPr>
          <w:b/>
          <w:i w:val="0"/>
          <w:smallCaps w:val="0"/>
          <w:strike w:val="0"/>
          <w:sz w:val="26"/>
          <w:u w:val="none"/>
        </w:rPr>
        <w:t>Stotser</w:t>
      </w:r>
      <w:r>
        <w:rPr>
          <w:b/>
          <w:i w:val="0"/>
          <w:smallCaps w:val="0"/>
          <w:strike w:val="0"/>
          <w:sz w:val="26"/>
          <w:u w:val="none"/>
        </w:rPr>
        <w:t xml:space="preserve"> ’24</w:t>
      </w:r>
      <w:r>
        <w:rPr>
          <w:b w:val="0"/>
          <w:i w:val="0"/>
          <w:smallCaps w:val="0"/>
          <w:strike w:val="0"/>
          <w:u w:val="none"/>
        </w:rPr>
        <w:t xml:space="preserve"> [Jacob; April 27; law degree from Duke University, Foley’s intellectual property practice area, specialized in high-tech, electronics, software, and emerging Internet patent portfolios; “Beyond Patents: Incentive Strategies for Ocean Plastic Remediation Technologies” https://scholarship.law.duke.edu/dltr/vol23/iss1/5</w:t>
      </w:r>
      <w:r>
        <w:rPr>
          <w:b w:val="0"/>
          <w:i w:val="0"/>
          <w:smallCaps w:val="0"/>
          <w:strike w:val="0"/>
          <w:u w:val="none"/>
        </w:rPr>
        <w:t xml:space="preserve">] </w:t>
      </w:r>
      <w:r>
        <w:rPr>
          <w:b w:val="0"/>
          <w:i w:val="0"/>
          <w:smallCaps w:val="0"/>
          <w:strike w:val="0"/>
          <w:u w:val="none"/>
        </w:rPr>
        <w:t>sajad</w:t>
      </w:r>
    </w:p>
    <w:p>
      <w:pPr>
        <w:spacing w:after="60"/>
      </w:pPr>
      <w:r>
        <w:rPr>
          <w:b w:val="0"/>
          <w:i w:val="0"/>
          <w:smallCaps w:val="0"/>
          <w:strike w:val="0"/>
          <w:sz w:val="16"/>
          <w:u w:val="none"/>
        </w:rPr>
        <w:t xml:space="preserve">Many U.S. efforts are directed at the </w:t>
      </w:r>
      <w:r>
        <w:rPr>
          <w:b w:val="0"/>
          <w:i w:val="0"/>
          <w:smallCaps w:val="0"/>
          <w:strike w:val="0"/>
          <w:sz w:val="22"/>
          <w:u w:val="single"/>
        </w:rPr>
        <w:t>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P</w:t>
      </w:r>
      <w:r>
        <w:rPr>
          <w:b w:val="0"/>
          <w:i w:val="0"/>
          <w:smallCaps w:val="0"/>
          <w:strike w:val="0"/>
          <w:sz w:val="16"/>
          <w:u w:val="none"/>
        </w:rPr>
        <w:t xml:space="preserve">atent and </w:t>
      </w:r>
      <w:r>
        <w:rPr>
          <w:b w:val="0"/>
          <w:i w:val="0"/>
          <w:smallCaps w:val="0"/>
          <w:strike w:val="0"/>
          <w:sz w:val="22"/>
          <w:u w:val="single"/>
        </w:rPr>
        <w:t>T</w:t>
      </w:r>
      <w:r>
        <w:rPr>
          <w:b w:val="0"/>
          <w:i w:val="0"/>
          <w:smallCaps w:val="0"/>
          <w:strike w:val="0"/>
          <w:sz w:val="16"/>
          <w:u w:val="none"/>
        </w:rPr>
        <w:t xml:space="preserve">rademark </w:t>
      </w:r>
      <w:r>
        <w:rPr>
          <w:b w:val="0"/>
          <w:i w:val="0"/>
          <w:smallCaps w:val="0"/>
          <w:strike w:val="0"/>
          <w:sz w:val="22"/>
          <w:u w:val="single"/>
        </w:rPr>
        <w:t>O</w:t>
      </w:r>
      <w:r>
        <w:rPr>
          <w:b w:val="0"/>
          <w:i w:val="0"/>
          <w:smallCaps w:val="0"/>
          <w:strike w:val="0"/>
          <w:sz w:val="16"/>
          <w:u w:val="none"/>
        </w:rPr>
        <w:t xml:space="preserve">ffice, the federal agency </w:t>
      </w:r>
      <w:r>
        <w:rPr>
          <w:b w:val="0"/>
          <w:i w:val="0"/>
          <w:smallCaps w:val="0"/>
          <w:strike w:val="0"/>
          <w:sz w:val="22"/>
          <w:u w:val="single"/>
        </w:rPr>
        <w:t xml:space="preserve">charged with </w:t>
      </w:r>
      <w:r>
        <w:rPr>
          <w:b/>
          <w:i w:val="0"/>
          <w:smallCaps w:val="0"/>
          <w:strike w:val="0"/>
          <w:sz w:val="22"/>
          <w:u w:val="single"/>
        </w:rPr>
        <w:t>granting patents</w:t>
      </w:r>
      <w:r>
        <w:rPr>
          <w:b w:val="0"/>
          <w:i w:val="0"/>
          <w:smallCaps w:val="0"/>
          <w:strike w:val="0"/>
          <w:sz w:val="16"/>
          <w:u w:val="none"/>
        </w:rPr>
        <w:t xml:space="preserve">.81 For an inventor </w:t>
      </w:r>
      <w:r>
        <w:rPr>
          <w:b w:val="0"/>
          <w:i w:val="0"/>
          <w:smallCaps w:val="0"/>
          <w:strike w:val="0"/>
          <w:sz w:val="22"/>
          <w:u w:val="single"/>
        </w:rPr>
        <w:t>to receive</w:t>
      </w:r>
      <w:r>
        <w:rPr>
          <w:b w:val="0"/>
          <w:i w:val="0"/>
          <w:smallCaps w:val="0"/>
          <w:strike w:val="0"/>
          <w:sz w:val="16"/>
          <w:u w:val="none"/>
        </w:rPr>
        <w:t xml:space="preserve"> U.S. </w:t>
      </w:r>
      <w:r>
        <w:rPr>
          <w:b w:val="0"/>
          <w:i w:val="0"/>
          <w:smallCaps w:val="0"/>
          <w:strike w:val="0"/>
          <w:sz w:val="22"/>
          <w:u w:val="single"/>
        </w:rPr>
        <w:t xml:space="preserve">patent </w:t>
      </w:r>
      <w:r>
        <w:rPr>
          <w:b w:val="0"/>
          <w:i w:val="0"/>
          <w:smallCaps w:val="0"/>
          <w:strike w:val="0"/>
          <w:sz w:val="22"/>
          <w:u w:val="single"/>
        </w:rPr>
        <w:t>protection</w:t>
      </w:r>
      <w:r>
        <w:rPr>
          <w:b w:val="0"/>
          <w:i w:val="0"/>
          <w:smallCaps w:val="0"/>
          <w:strike w:val="0"/>
          <w:sz w:val="16"/>
          <w:u w:val="none"/>
        </w:rPr>
        <w:t xml:space="preserve"> on </w:t>
      </w:r>
      <w:r>
        <w:rPr>
          <w:b w:val="0"/>
          <w:i w:val="0"/>
          <w:smallCaps w:val="0"/>
          <w:strike/>
          <w:sz w:val="16"/>
          <w:u w:val="none"/>
        </w:rPr>
        <w:t>her</w:t>
      </w:r>
      <w:r>
        <w:rPr>
          <w:b w:val="0"/>
          <w:i w:val="0"/>
          <w:smallCaps w:val="0"/>
          <w:strike w:val="0"/>
          <w:sz w:val="16"/>
          <w:u w:val="none"/>
        </w:rPr>
        <w:t xml:space="preserve"> [their] invention, </w:t>
      </w:r>
      <w:r>
        <w:rPr>
          <w:b w:val="0"/>
          <w:i w:val="0"/>
          <w:smallCaps w:val="0"/>
          <w:strike/>
          <w:sz w:val="16"/>
          <w:u w:val="none"/>
        </w:rPr>
        <w:t>she</w:t>
      </w:r>
      <w:r>
        <w:rPr>
          <w:b w:val="0"/>
          <w:i w:val="0"/>
          <w:smallCaps w:val="0"/>
          <w:strike w:val="0"/>
          <w:sz w:val="16"/>
          <w:u w:val="none"/>
        </w:rPr>
        <w:t xml:space="preserve"> [they] </w:t>
      </w:r>
      <w:r>
        <w:rPr>
          <w:b w:val="0"/>
          <w:i w:val="0"/>
          <w:smallCaps w:val="0"/>
          <w:strike w:val="0"/>
          <w:sz w:val="22"/>
          <w:u w:val="single"/>
        </w:rPr>
        <w:t xml:space="preserve">must start the process by </w:t>
      </w:r>
      <w:r>
        <w:rPr>
          <w:b w:val="0"/>
          <w:i w:val="0"/>
          <w:smallCaps w:val="0"/>
          <w:strike w:val="0"/>
          <w:sz w:val="22"/>
          <w:highlight w:val="cyan"/>
          <w:u w:val="single"/>
        </w:rPr>
        <w:t xml:space="preserve">filing an </w:t>
      </w:r>
      <w:r>
        <w:rPr>
          <w:b/>
          <w:i w:val="0"/>
          <w:smallCaps w:val="0"/>
          <w:strike w:val="0"/>
          <w:sz w:val="22"/>
          <w:highlight w:val="cyan"/>
          <w:u w:val="single"/>
        </w:rPr>
        <w:t>application</w:t>
      </w:r>
      <w:r>
        <w:rPr>
          <w:b w:val="0"/>
          <w:i w:val="0"/>
          <w:smallCaps w:val="0"/>
          <w:strike w:val="0"/>
          <w:sz w:val="16"/>
          <w:u w:val="none"/>
        </w:rPr>
        <w:t xml:space="preserve"> with the USPTO.82 This begins a back-and-forth between the applicant and the assigned patent examiner, who sends the applicant “Office Actions” containing the examiner’s conclusions regarding the patentability of the invention.83 The applicant may respond to these Office Actions, for example, by amending the invention’s claims to limit them to patentable subject matter, or by </w:t>
      </w:r>
      <w:r>
        <w:rPr>
          <w:b w:val="0"/>
          <w:i w:val="0"/>
          <w:smallCaps w:val="0"/>
          <w:strike w:val="0"/>
          <w:sz w:val="22"/>
          <w:highlight w:val="cyan"/>
          <w:u w:val="single"/>
        </w:rPr>
        <w:t>raising</w:t>
      </w:r>
      <w:r>
        <w:rPr>
          <w:b w:val="0"/>
          <w:i w:val="0"/>
          <w:smallCaps w:val="0"/>
          <w:strike w:val="0"/>
          <w:sz w:val="22"/>
          <w:u w:val="single"/>
        </w:rPr>
        <w:t xml:space="preserve"> legal or </w:t>
      </w:r>
      <w:r>
        <w:rPr>
          <w:b/>
          <w:i w:val="0"/>
          <w:smallCaps w:val="0"/>
          <w:strike w:val="0"/>
          <w:sz w:val="22"/>
          <w:highlight w:val="cyan"/>
          <w:u w:val="single"/>
        </w:rPr>
        <w:t>technical arguments</w:t>
      </w:r>
      <w:r>
        <w:rPr>
          <w:b w:val="0"/>
          <w:i w:val="0"/>
          <w:smallCaps w:val="0"/>
          <w:strike w:val="0"/>
          <w:sz w:val="16"/>
          <w:u w:val="none"/>
        </w:rPr>
        <w:t xml:space="preserve"> to counter the examiner’s reasoning.84 The </w:t>
      </w:r>
      <w:r>
        <w:rPr>
          <w:b w:val="0"/>
          <w:i w:val="0"/>
          <w:smallCaps w:val="0"/>
          <w:strike w:val="0"/>
          <w:sz w:val="22"/>
          <w:u w:val="single"/>
        </w:rPr>
        <w:t>process generally concludes</w:t>
      </w:r>
      <w:r>
        <w:rPr>
          <w:b w:val="0"/>
          <w:i w:val="0"/>
          <w:smallCaps w:val="0"/>
          <w:strike w:val="0"/>
          <w:sz w:val="16"/>
          <w:u w:val="none"/>
        </w:rPr>
        <w:t xml:space="preserve"> when the claimed invention </w:t>
      </w:r>
      <w:r>
        <w:rPr>
          <w:b w:val="0"/>
          <w:i w:val="0"/>
          <w:smallCaps w:val="0"/>
          <w:strike w:val="0"/>
          <w:sz w:val="22"/>
          <w:u w:val="single"/>
        </w:rPr>
        <w:t>receives a “final rejection” or an “allowance”</w:t>
      </w:r>
      <w:r>
        <w:rPr>
          <w:b w:val="0"/>
          <w:i w:val="0"/>
          <w:smallCaps w:val="0"/>
          <w:strike w:val="0"/>
          <w:sz w:val="16"/>
          <w:u w:val="none"/>
        </w:rPr>
        <w:t xml:space="preserve"> from the examiner.85 If the examiner issues a Notice of Allowance on a utility application, the inventor is granted a patent, which confers a 20-year exclusive right to prevent others from practicing the invention.86 </w:t>
      </w:r>
    </w:p>
    <w:p>
      <w:pPr>
        <w:spacing w:after="60"/>
      </w:pPr>
      <w:r>
        <w:rPr>
          <w:b w:val="0"/>
          <w:i w:val="0"/>
          <w:smallCaps w:val="0"/>
          <w:strike w:val="0"/>
          <w:sz w:val="22"/>
          <w:u w:val="single"/>
        </w:rPr>
        <w:t>The structure</w:t>
      </w:r>
      <w:r>
        <w:rPr>
          <w:b w:val="0"/>
          <w:i w:val="0"/>
          <w:smallCaps w:val="0"/>
          <w:strike w:val="0"/>
          <w:sz w:val="16"/>
          <w:u w:val="none"/>
        </w:rPr>
        <w:t xml:space="preserve"> and nature of the patent process </w:t>
      </w:r>
      <w:r>
        <w:rPr>
          <w:b w:val="0"/>
          <w:i w:val="0"/>
          <w:smallCaps w:val="0"/>
          <w:strike w:val="0"/>
          <w:sz w:val="22"/>
          <w:highlight w:val="cyan"/>
          <w:u w:val="single"/>
        </w:rPr>
        <w:t xml:space="preserve">leads to many </w:t>
      </w:r>
      <w:r>
        <w:rPr>
          <w:b/>
          <w:i w:val="0"/>
          <w:smallCaps w:val="0"/>
          <w:strike w:val="0"/>
          <w:sz w:val="22"/>
          <w:highlight w:val="cyan"/>
          <w:u w:val="single"/>
        </w:rPr>
        <w:t>headaches</w:t>
      </w:r>
      <w:r>
        <w:rPr>
          <w:b w:val="0"/>
          <w:i w:val="0"/>
          <w:smallCaps w:val="0"/>
          <w:strike w:val="0"/>
          <w:sz w:val="16"/>
          <w:u w:val="none"/>
        </w:rPr>
        <w:t xml:space="preserve"> for applicants and inventors. First, applicants </w:t>
      </w:r>
      <w:r>
        <w:rPr>
          <w:b w:val="0"/>
          <w:i w:val="0"/>
          <w:smallCaps w:val="0"/>
          <w:strike w:val="0"/>
          <w:sz w:val="22"/>
          <w:u w:val="single"/>
        </w:rPr>
        <w:t xml:space="preserve">must pay a variety of </w:t>
      </w:r>
      <w:r>
        <w:rPr>
          <w:b w:val="0"/>
          <w:i w:val="0"/>
          <w:smallCaps w:val="0"/>
          <w:strike w:val="0"/>
          <w:sz w:val="22"/>
          <w:highlight w:val="cyan"/>
          <w:u w:val="single"/>
        </w:rPr>
        <w:t>fees</w:t>
      </w:r>
      <w:r>
        <w:rPr>
          <w:b w:val="0"/>
          <w:i w:val="0"/>
          <w:smallCaps w:val="0"/>
          <w:strike w:val="0"/>
          <w:sz w:val="16"/>
          <w:u w:val="none"/>
        </w:rPr>
        <w:t xml:space="preserve">, including fees for filing, examination, search, issuance, and more.87 Even before filing, inventors often seek the help of a patent agent or attorney in drafting the application, and many choose to retain counsel to handle the entirety of the prosecution of the application. Second, the </w:t>
      </w:r>
      <w:r>
        <w:rPr>
          <w:b w:val="0"/>
          <w:i w:val="0"/>
          <w:smallCaps w:val="0"/>
          <w:strike w:val="0"/>
          <w:sz w:val="22"/>
          <w:u w:val="single"/>
        </w:rPr>
        <w:t xml:space="preserve">patent-granting </w:t>
      </w:r>
      <w:r>
        <w:rPr>
          <w:b w:val="0"/>
          <w:i w:val="0"/>
          <w:smallCaps w:val="0"/>
          <w:strike w:val="0"/>
          <w:sz w:val="22"/>
          <w:highlight w:val="cyan"/>
          <w:u w:val="single"/>
        </w:rPr>
        <w:t>process</w:t>
      </w:r>
      <w:r>
        <w:rPr>
          <w:b w:val="0"/>
          <w:i w:val="0"/>
          <w:smallCaps w:val="0"/>
          <w:strike w:val="0"/>
          <w:sz w:val="22"/>
          <w:u w:val="single"/>
        </w:rPr>
        <w:t xml:space="preserve"> may be </w:t>
      </w:r>
      <w:r>
        <w:rPr>
          <w:b/>
          <w:i w:val="0"/>
          <w:smallCaps w:val="0"/>
          <w:strike w:val="0"/>
          <w:sz w:val="22"/>
          <w:u w:val="single"/>
        </w:rPr>
        <w:t xml:space="preserve">excruciatingly </w:t>
      </w:r>
      <w:r>
        <w:rPr>
          <w:b/>
          <w:i w:val="0"/>
          <w:smallCaps w:val="0"/>
          <w:strike w:val="0"/>
          <w:sz w:val="22"/>
          <w:highlight w:val="cyan"/>
          <w:u w:val="single"/>
        </w:rPr>
        <w:t>slow</w:t>
      </w:r>
      <w:r>
        <w:rPr>
          <w:b w:val="0"/>
          <w:i w:val="0"/>
          <w:smallCaps w:val="0"/>
          <w:strike w:val="0"/>
          <w:sz w:val="16"/>
          <w:u w:val="none"/>
        </w:rPr>
        <w:t xml:space="preserve">. As of </w:t>
      </w:r>
      <w:r>
        <w:rPr>
          <w:b w:val="0"/>
          <w:i w:val="0"/>
          <w:smallCaps w:val="0"/>
          <w:strike w:val="0"/>
          <w:sz w:val="22"/>
          <w:u w:val="single"/>
        </w:rPr>
        <w:t>January 2024</w:t>
      </w:r>
      <w:r>
        <w:rPr>
          <w:b w:val="0"/>
          <w:i w:val="0"/>
          <w:smallCaps w:val="0"/>
          <w:strike w:val="0"/>
          <w:sz w:val="16"/>
          <w:u w:val="none"/>
        </w:rPr>
        <w:t>,</w:t>
      </w:r>
      <w:r>
        <w:rPr>
          <w:b w:val="0"/>
          <w:i w:val="0"/>
          <w:smallCaps w:val="0"/>
          <w:strike w:val="0"/>
          <w:sz w:val="22"/>
          <w:u w:val="single"/>
        </w:rPr>
        <w:t xml:space="preserve"> </w:t>
      </w:r>
      <w:r>
        <w:rPr>
          <w:b w:val="0"/>
          <w:i w:val="0"/>
          <w:smallCaps w:val="0"/>
          <w:strike w:val="0"/>
          <w:sz w:val="16"/>
          <w:u w:val="none"/>
        </w:rPr>
        <w:t xml:space="preserve">applicants must wait an overage of </w:t>
      </w:r>
      <w:r>
        <w:rPr>
          <w:b w:val="0"/>
          <w:i w:val="0"/>
          <w:smallCaps w:val="0"/>
          <w:strike w:val="0"/>
          <w:sz w:val="22"/>
          <w:u w:val="single"/>
        </w:rPr>
        <w:t>over twenty months</w:t>
      </w:r>
      <w:r>
        <w:rPr>
          <w:b w:val="0"/>
          <w:i w:val="0"/>
          <w:smallCaps w:val="0"/>
          <w:strike w:val="0"/>
          <w:sz w:val="16"/>
          <w:u w:val="none"/>
        </w:rPr>
        <w:t xml:space="preserve"> before receiving a substantive response from the Patent Office.88 Patents are generally </w:t>
      </w:r>
      <w:r>
        <w:rPr>
          <w:b w:val="0"/>
          <w:i w:val="0"/>
          <w:smallCaps w:val="0"/>
          <w:strike w:val="0"/>
          <w:sz w:val="22"/>
          <w:highlight w:val="cyan"/>
          <w:u w:val="single"/>
        </w:rPr>
        <w:t xml:space="preserve">“pending” for around </w:t>
      </w:r>
      <w:r>
        <w:rPr>
          <w:b/>
          <w:i w:val="0"/>
          <w:smallCaps w:val="0"/>
          <w:strike w:val="0"/>
          <w:sz w:val="22"/>
          <w:highlight w:val="cyan"/>
          <w:u w:val="single"/>
        </w:rPr>
        <w:t>two years</w:t>
      </w:r>
      <w:r>
        <w:rPr>
          <w:b w:val="0"/>
          <w:i w:val="0"/>
          <w:smallCaps w:val="0"/>
          <w:strike w:val="0"/>
          <w:sz w:val="16"/>
          <w:u w:val="none"/>
        </w:rPr>
        <w:t xml:space="preserve">, and </w:t>
      </w:r>
      <w:r>
        <w:rPr>
          <w:b w:val="0"/>
          <w:i w:val="0"/>
          <w:smallCaps w:val="0"/>
          <w:strike w:val="0"/>
          <w:sz w:val="22"/>
          <w:u w:val="single"/>
        </w:rPr>
        <w:t xml:space="preserve">the USPTO has a </w:t>
      </w:r>
      <w:r>
        <w:rPr>
          <w:b/>
          <w:i w:val="0"/>
          <w:smallCaps w:val="0"/>
          <w:strike w:val="0"/>
          <w:sz w:val="22"/>
          <w:highlight w:val="cyan"/>
          <w:u w:val="single"/>
        </w:rPr>
        <w:t>current backlog</w:t>
      </w:r>
      <w:r>
        <w:rPr>
          <w:b w:val="0"/>
          <w:i w:val="0"/>
          <w:smallCaps w:val="0"/>
          <w:strike w:val="0"/>
          <w:sz w:val="22"/>
          <w:highlight w:val="cyan"/>
          <w:u w:val="single"/>
        </w:rPr>
        <w:t xml:space="preserve"> of over 775,000</w:t>
      </w:r>
      <w:r>
        <w:rPr>
          <w:b w:val="0"/>
          <w:i w:val="0"/>
          <w:smallCaps w:val="0"/>
          <w:strike w:val="0"/>
          <w:sz w:val="22"/>
          <w:u w:val="single"/>
        </w:rPr>
        <w:t xml:space="preserve"> unexamined </w:t>
      </w:r>
      <w:r>
        <w:rPr>
          <w:b w:val="0"/>
          <w:i w:val="0"/>
          <w:smallCaps w:val="0"/>
          <w:strike w:val="0"/>
          <w:sz w:val="22"/>
          <w:highlight w:val="cyan"/>
          <w:u w:val="single"/>
        </w:rPr>
        <w:t>patent applications</w:t>
      </w:r>
      <w:r>
        <w:rPr>
          <w:b w:val="0"/>
          <w:i w:val="0"/>
          <w:smallCaps w:val="0"/>
          <w:strike w:val="0"/>
          <w:sz w:val="16"/>
          <w:u w:val="none"/>
        </w:rPr>
        <w:t xml:space="preserve">.89 </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