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USPTO is indestructible</w:t>
      </w:r>
    </w:p>
    <w:p>
      <w:pPr>
        <w:spacing w:after="80"/>
      </w:pPr>
      <w:r>
        <w:rPr>
          <w:b/>
          <w:i w:val="0"/>
          <w:smallCaps w:val="0"/>
          <w:strike w:val="0"/>
          <w:sz w:val="26"/>
          <w:u w:val="none"/>
        </w:rPr>
        <w:t>Phelps 23</w:t>
      </w:r>
      <w:r>
        <w:rPr>
          <w:b w:val="0"/>
          <w:i w:val="0"/>
          <w:smallCaps w:val="0"/>
          <w:strike w:val="0"/>
          <w:u w:val="none"/>
        </w:rPr>
        <w:t xml:space="preserve">, Dean Phelps has over 20 years of R&amp;D experience in large pharmaceutical firms including in-house patent prosecution experience, and over four years of experience in private law firms, primarily in the life science, analytical instrumentation and chemical industry, 9/28/2023, “What Happens to Your Patents and Trademarks if the USPTO Shuts Down on October 1, 2023?”, </w:t>
      </w:r>
    </w:p>
    <w:p>
      <w:pPr>
        <w:spacing w:after="60"/>
      </w:pPr>
      <w:r>
        <w:rPr>
          <w:b w:val="0"/>
          <w:i w:val="0"/>
          <w:smallCaps w:val="0"/>
          <w:strike w:val="0"/>
          <w:u w:val="none"/>
        </w:rPr>
        <w:t xml:space="preserve">While other non-essential agencies are furloughing staff during a shutdown, </w:t>
      </w:r>
      <w:r>
        <w:rPr>
          <w:b w:val="0"/>
          <w:i w:val="0"/>
          <w:smallCaps w:val="0"/>
          <w:strike w:val="0"/>
          <w:highlight w:val="cyan"/>
          <w:u w:val="none"/>
        </w:rPr>
        <w:t>t</w:t>
      </w:r>
      <w:r>
        <w:rPr>
          <w:b w:val="0"/>
          <w:i w:val="0"/>
          <w:smallCaps w:val="0"/>
          <w:strike w:val="0"/>
          <w:sz w:val="22"/>
          <w:highlight w:val="cyan"/>
          <w:u w:val="single"/>
        </w:rPr>
        <w:t>he USPTO keeps</w:t>
      </w:r>
      <w:r>
        <w:rPr>
          <w:b w:val="0"/>
          <w:i w:val="0"/>
          <w:smallCaps w:val="0"/>
          <w:strike w:val="0"/>
          <w:sz w:val="22"/>
          <w:u w:val="single"/>
        </w:rPr>
        <w:t xml:space="preserve"> their </w:t>
      </w:r>
      <w:r>
        <w:rPr>
          <w:b w:val="0"/>
          <w:i w:val="0"/>
          <w:smallCaps w:val="0"/>
          <w:strike w:val="0"/>
          <w:sz w:val="22"/>
          <w:highlight w:val="cyan"/>
          <w:u w:val="single"/>
        </w:rPr>
        <w:t>staff working</w:t>
      </w:r>
      <w:r>
        <w:rPr>
          <w:b w:val="0"/>
          <w:i w:val="0"/>
          <w:smallCaps w:val="0"/>
          <w:strike w:val="0"/>
          <w:sz w:val="22"/>
          <w:u w:val="single"/>
        </w:rPr>
        <w:t xml:space="preserve">, at least due to operating reserves (ORs) funding on hand and national security concerns. Even though the Department of Commerce is the parent agency of the USPTO, the USPTO submits budget proposals including detailed accounting directly to Congress.[6] </w:t>
      </w:r>
      <w:r>
        <w:rPr>
          <w:b w:val="0"/>
          <w:i w:val="0"/>
          <w:smallCaps w:val="0"/>
          <w:strike w:val="0"/>
          <w:sz w:val="22"/>
          <w:highlight w:val="cyan"/>
          <w:u w:val="single"/>
        </w:rPr>
        <w:t>Furthermore, the IPEC submits</w:t>
      </w:r>
      <w:r>
        <w:rPr>
          <w:b w:val="0"/>
          <w:i w:val="0"/>
          <w:smallCaps w:val="0"/>
          <w:strike w:val="0"/>
          <w:sz w:val="22"/>
          <w:u w:val="single"/>
        </w:rPr>
        <w:t xml:space="preserve"> </w:t>
      </w:r>
      <w:r>
        <w:rPr>
          <w:b w:val="0"/>
          <w:i w:val="0"/>
          <w:smallCaps w:val="0"/>
          <w:strike w:val="0"/>
          <w:sz w:val="22"/>
          <w:highlight w:val="cyan"/>
          <w:u w:val="single"/>
        </w:rPr>
        <w:t>an Annual IP Report to Congress</w:t>
      </w:r>
      <w:r>
        <w:rPr>
          <w:b w:val="0"/>
          <w:i w:val="0"/>
          <w:smallCaps w:val="0"/>
          <w:strike w:val="0"/>
          <w:sz w:val="22"/>
          <w:u w:val="single"/>
        </w:rPr>
        <w:t xml:space="preserve">, bringing together the advancement of efforts in IP by every major U.S. Agency, </w:t>
      </w:r>
      <w:r>
        <w:rPr>
          <w:b w:val="0"/>
          <w:i w:val="0"/>
          <w:smallCaps w:val="0"/>
          <w:strike w:val="0"/>
          <w:sz w:val="22"/>
          <w:highlight w:val="cyan"/>
          <w:u w:val="single"/>
        </w:rPr>
        <w:t>including property enforcement strategy</w:t>
      </w:r>
      <w:r>
        <w:rPr>
          <w:b w:val="0"/>
          <w:i w:val="0"/>
          <w:smallCaps w:val="0"/>
          <w:strike w:val="0"/>
          <w:sz w:val="22"/>
          <w:u w:val="single"/>
        </w:rPr>
        <w:t xml:space="preserve"> and related efforts undertaken by departments and agencies.[7] In sum, the United States takes IP seriously, as a matter of national security.</w:t>
      </w:r>
    </w:p>
    <w:p>
      <w:pPr>
        <w:spacing w:after="60"/>
      </w:pPr>
      <w:r>
        <w:rPr>
          <w:b w:val="0"/>
          <w:i w:val="0"/>
          <w:smallCaps w:val="0"/>
          <w:strike w:val="0"/>
          <w:u w:val="none"/>
        </w:rPr>
        <w:t xml:space="preserve">Due in part to promoting confidence in the U.S. IP system, </w:t>
      </w:r>
      <w:r>
        <w:rPr>
          <w:b w:val="0"/>
          <w:i w:val="0"/>
          <w:smallCaps w:val="0"/>
          <w:strike w:val="0"/>
          <w:sz w:val="22"/>
          <w:highlight w:val="cyan"/>
          <w:u w:val="single"/>
        </w:rPr>
        <w:t xml:space="preserve">the USPTO </w:t>
      </w:r>
      <w:r>
        <w:rPr>
          <w:b w:val="0"/>
          <w:i w:val="0"/>
          <w:smallCaps w:val="0"/>
          <w:strike w:val="0"/>
          <w:sz w:val="22"/>
          <w:highlight w:val="cyan"/>
          <w:u w:val="single"/>
        </w:rPr>
        <w:t>plans ahead</w:t>
      </w:r>
      <w:r>
        <w:rPr>
          <w:b w:val="0"/>
          <w:i w:val="0"/>
          <w:smallCaps w:val="0"/>
          <w:strike w:val="0"/>
          <w:sz w:val="22"/>
          <w:u w:val="single"/>
        </w:rPr>
        <w:t xml:space="preserve"> for shutdowns and submits detailed Budget Reports </w:t>
      </w:r>
      <w:r>
        <w:rPr>
          <w:b w:val="0"/>
          <w:i w:val="0"/>
          <w:smallCaps w:val="0"/>
          <w:strike w:val="0"/>
          <w:sz w:val="22"/>
          <w:highlight w:val="cyan"/>
          <w:u w:val="single"/>
        </w:rPr>
        <w:t xml:space="preserve">to </w:t>
      </w:r>
      <w:r>
        <w:rPr>
          <w:b/>
          <w:i w:val="0"/>
          <w:smallCaps w:val="0"/>
          <w:strike w:val="0"/>
          <w:sz w:val="22"/>
          <w:highlight w:val="cyan"/>
          <w:u w:val="single"/>
        </w:rPr>
        <w:t>Congress</w:t>
      </w:r>
      <w:r>
        <w:rPr>
          <w:b w:val="0"/>
          <w:i w:val="0"/>
          <w:smallCaps w:val="0"/>
          <w:strike w:val="0"/>
          <w:u w:val="none"/>
        </w:rPr>
        <w:t>, including projected ORs in case of a shutdown (see: https://www.commerce.gov/sites/default/files/2023-03/USPTO-FY2024-Congressional-Budget-Submission.pdf).</w:t>
      </w:r>
    </w:p>
    <w:p>
      <w:pPr>
        <w:spacing w:after="60"/>
      </w:pPr>
      <w:r>
        <w:rPr>
          <w:b w:val="0"/>
          <w:i w:val="0"/>
          <w:smallCaps w:val="0"/>
          <w:strike w:val="0"/>
          <w:sz w:val="22"/>
          <w:u w:val="single"/>
        </w:rPr>
        <w:t xml:space="preserve">While </w:t>
      </w:r>
      <w:r>
        <w:rPr>
          <w:b w:val="0"/>
          <w:i w:val="0"/>
          <w:smallCaps w:val="0"/>
          <w:strike w:val="0"/>
          <w:sz w:val="22"/>
          <w:u w:val="single"/>
        </w:rPr>
        <w:t>planning ahead</w:t>
      </w:r>
      <w:r>
        <w:rPr>
          <w:b w:val="0"/>
          <w:i w:val="0"/>
          <w:smallCaps w:val="0"/>
          <w:strike w:val="0"/>
          <w:sz w:val="22"/>
          <w:u w:val="single"/>
        </w:rPr>
        <w:t xml:space="preserve"> over the past years, the USPTO began placing some amount of funds into “Operating Reserves”</w:t>
      </w:r>
      <w:r>
        <w:rPr>
          <w:b w:val="0"/>
          <w:i w:val="0"/>
          <w:smallCaps w:val="0"/>
          <w:strike w:val="0"/>
          <w:u w:val="none"/>
        </w:rPr>
        <w:t xml:space="preserve"> (ORs), which were justified as a fund to be used in case of a government shutdown. The detailed Congressional Reports include projections of Operating Reserves (ORs) that are used in case of a government shutdown (Id. at page 135).</w:t>
      </w:r>
    </w:p>
    <w:p>
      <w:pPr>
        <w:spacing w:after="60"/>
      </w:pPr>
      <w:r>
        <w:rPr>
          <w:b w:val="0"/>
          <w:i w:val="0"/>
          <w:smallCaps w:val="0"/>
          <w:strike w:val="0"/>
          <w:sz w:val="22"/>
          <w:u w:val="single"/>
        </w:rPr>
        <w:t xml:space="preserve">The USPTO keeps ORs on hand to potentially operate for months in case of a shutdown. </w:t>
      </w:r>
      <w:r>
        <w:rPr>
          <w:b w:val="0"/>
          <w:i w:val="0"/>
          <w:smallCaps w:val="0"/>
          <w:strike w:val="0"/>
          <w:sz w:val="22"/>
          <w:highlight w:val="cyan"/>
          <w:u w:val="single"/>
        </w:rPr>
        <w:t>In the latest</w:t>
      </w:r>
      <w:r>
        <w:rPr>
          <w:b w:val="0"/>
          <w:i w:val="0"/>
          <w:smallCaps w:val="0"/>
          <w:strike w:val="0"/>
          <w:sz w:val="22"/>
          <w:u w:val="single"/>
        </w:rPr>
        <w:t xml:space="preserve"> </w:t>
      </w:r>
      <w:r>
        <w:rPr>
          <w:b/>
          <w:i w:val="0"/>
          <w:smallCaps w:val="0"/>
          <w:strike w:val="0"/>
          <w:sz w:val="22"/>
          <w:u w:val="single"/>
        </w:rPr>
        <w:t xml:space="preserve">Congressional </w:t>
      </w:r>
      <w:r>
        <w:rPr>
          <w:b/>
          <w:i w:val="0"/>
          <w:smallCaps w:val="0"/>
          <w:strike w:val="0"/>
          <w:sz w:val="22"/>
          <w:highlight w:val="cyan"/>
          <w:u w:val="single"/>
        </w:rPr>
        <w:t>Submission</w:t>
      </w:r>
      <w:r>
        <w:rPr>
          <w:b w:val="0"/>
          <w:i w:val="0"/>
          <w:smallCaps w:val="0"/>
          <w:strike w:val="0"/>
          <w:sz w:val="22"/>
          <w:u w:val="single"/>
        </w:rPr>
        <w:t xml:space="preserve"> (submitted March 2023), the USPTO projects that the OR is just about optimal for 2023, as shown below in the dashed line for “Forecasted OR” for “FY 2024”,</w:t>
      </w:r>
      <w:r>
        <w:rPr>
          <w:b w:val="0"/>
          <w:i w:val="0"/>
          <w:smallCaps w:val="0"/>
          <w:strike w:val="0"/>
          <w:u w:val="none"/>
        </w:rPr>
        <w:t xml:space="preserve"> which is just below the “Optimal Level” for Operating Reserves:</w:t>
      </w:r>
    </w:p>
    <w:p>
      <w:pPr>
        <w:spacing w:after="60"/>
      </w:pPr>
      <w:r>
        <w:rPr>
          <w:b w:val="0"/>
          <w:i w:val="0"/>
          <w:smallCaps w:val="0"/>
          <w:strike w:val="0"/>
          <w:u w:val="none"/>
        </w:rPr>
        <w:t>The drop-off in forecasted ORs after 2023 is because it is projected that: “</w:t>
      </w:r>
      <w:r>
        <w:rPr>
          <w:b w:val="0"/>
          <w:i w:val="0"/>
          <w:smallCaps w:val="0"/>
          <w:strike w:val="0"/>
          <w:sz w:val="22"/>
          <w:highlight w:val="cyan"/>
          <w:u w:val="single"/>
        </w:rPr>
        <w:t>The</w:t>
      </w:r>
      <w:r>
        <w:rPr>
          <w:b w:val="0"/>
          <w:i w:val="0"/>
          <w:smallCaps w:val="0"/>
          <w:strike w:val="0"/>
          <w:sz w:val="22"/>
          <w:u w:val="single"/>
        </w:rPr>
        <w:t xml:space="preserve"> decline in forecasted ORs when compared to the </w:t>
      </w:r>
      <w:r>
        <w:rPr>
          <w:b w:val="0"/>
          <w:i w:val="0"/>
          <w:smallCaps w:val="0"/>
          <w:strike w:val="0"/>
          <w:sz w:val="22"/>
          <w:highlight w:val="cyan"/>
          <w:u w:val="single"/>
        </w:rPr>
        <w:t>balances estimated</w:t>
      </w:r>
      <w:r>
        <w:rPr>
          <w:b w:val="0"/>
          <w:i w:val="0"/>
          <w:smallCaps w:val="0"/>
          <w:strike w:val="0"/>
          <w:sz w:val="22"/>
          <w:u w:val="single"/>
        </w:rPr>
        <w:t xml:space="preserve"> in the FY 2023 PB [“President’s Budget”] </w:t>
      </w:r>
      <w:r>
        <w:rPr>
          <w:b w:val="0"/>
          <w:i w:val="0"/>
          <w:smallCaps w:val="0"/>
          <w:strike w:val="0"/>
          <w:sz w:val="22"/>
          <w:highlight w:val="cyan"/>
          <w:u w:val="single"/>
        </w:rPr>
        <w:t>is</w:t>
      </w:r>
      <w:r>
        <w:rPr>
          <w:b w:val="0"/>
          <w:i w:val="0"/>
          <w:smallCaps w:val="0"/>
          <w:strike w:val="0"/>
          <w:sz w:val="22"/>
          <w:u w:val="single"/>
        </w:rPr>
        <w:t xml:space="preserve"> primarily due to the decrease in fee estimates </w:t>
      </w:r>
      <w:r>
        <w:rPr>
          <w:b w:val="0"/>
          <w:i w:val="0"/>
          <w:smallCaps w:val="0"/>
          <w:strike w:val="0"/>
          <w:sz w:val="22"/>
          <w:highlight w:val="cyan"/>
          <w:u w:val="single"/>
        </w:rPr>
        <w:t>after considering</w:t>
      </w:r>
      <w:r>
        <w:rPr>
          <w:b w:val="0"/>
          <w:i w:val="0"/>
          <w:smallCaps w:val="0"/>
          <w:strike w:val="0"/>
          <w:sz w:val="22"/>
          <w:u w:val="single"/>
        </w:rPr>
        <w:t xml:space="preserve"> the higher small and </w:t>
      </w:r>
      <w:r>
        <w:rPr>
          <w:b w:val="0"/>
          <w:i w:val="0"/>
          <w:smallCaps w:val="0"/>
          <w:strike w:val="0"/>
          <w:sz w:val="22"/>
          <w:highlight w:val="cyan"/>
          <w:u w:val="single"/>
        </w:rPr>
        <w:t>micro entity discounts enacted by</w:t>
      </w:r>
      <w:r>
        <w:rPr>
          <w:b w:val="0"/>
          <w:i w:val="0"/>
          <w:smallCaps w:val="0"/>
          <w:strike w:val="0"/>
          <w:sz w:val="22"/>
          <w:u w:val="single"/>
        </w:rPr>
        <w:t xml:space="preserve"> the UAIA </w:t>
      </w:r>
      <w:r>
        <w:rPr>
          <w:b w:val="0"/>
          <w:i w:val="0"/>
          <w:smallCaps w:val="0"/>
          <w:strike w:val="0"/>
          <w:sz w:val="22"/>
          <w:highlight w:val="cyan"/>
          <w:u w:val="single"/>
        </w:rPr>
        <w:t>and updated inflationary factors</w:t>
      </w:r>
      <w:r>
        <w:rPr>
          <w:b w:val="0"/>
          <w:i w:val="0"/>
          <w:smallCaps w:val="0"/>
          <w:strike w:val="0"/>
          <w:u w:val="none"/>
        </w:rPr>
        <w:t xml:space="preserve"> (e.g., civilian pay raises)” (Id. at page 135, lines 27-29).</w:t>
      </w:r>
    </w:p>
    <w:p>
      <w:pPr>
        <w:spacing w:after="60"/>
      </w:pPr>
      <w:r>
        <w:rPr>
          <w:b w:val="0"/>
          <w:i w:val="0"/>
          <w:smallCaps w:val="0"/>
          <w:strike w:val="0"/>
          <w:sz w:val="22"/>
          <w:highlight w:val="cyan"/>
          <w:u w:val="single"/>
        </w:rPr>
        <w:t xml:space="preserve">The USPTO is </w:t>
      </w:r>
      <w:r>
        <w:rPr>
          <w:b/>
          <w:i w:val="0"/>
          <w:smallCaps w:val="0"/>
          <w:strike w:val="0"/>
          <w:sz w:val="22"/>
          <w:highlight w:val="cyan"/>
          <w:u w:val="single"/>
        </w:rPr>
        <w:t>100% transparent</w:t>
      </w:r>
      <w:r>
        <w:rPr>
          <w:b w:val="0"/>
          <w:i w:val="0"/>
          <w:smallCaps w:val="0"/>
          <w:strike w:val="0"/>
          <w:sz w:val="22"/>
          <w:u w:val="single"/>
        </w:rPr>
        <w:t xml:space="preserve"> about use of ORs during government shutdowns</w:t>
      </w:r>
      <w:r>
        <w:rPr>
          <w:b w:val="0"/>
          <w:i w:val="0"/>
          <w:smallCaps w:val="0"/>
          <w:strike w:val="0"/>
          <w:u w:val="none"/>
        </w:rPr>
        <w:t xml:space="preserve">. In the above mentioned Congressional Report under the section entitled “Operating </w:t>
      </w:r>
      <w:r>
        <w:rPr>
          <w:b w:val="0"/>
          <w:i w:val="0"/>
          <w:smallCaps w:val="0"/>
          <w:strike w:val="0"/>
          <w:u w:val="none"/>
        </w:rPr>
        <w:t>Reserve“</w:t>
      </w:r>
      <w:r>
        <w:rPr>
          <w:b w:val="0"/>
          <w:i w:val="0"/>
          <w:smallCaps w:val="0"/>
          <w:strike w:val="0"/>
          <w:u w:val="none"/>
        </w:rPr>
        <w:t>, the USPTO explains the use of ORs in detail on page 153 (also see page 9). For example, the USPTO states:</w:t>
      </w:r>
    </w:p>
    <w:p>
      <w:pPr>
        <w:spacing w:after="60"/>
      </w:pPr>
      <w:r>
        <w:rPr>
          <w:b w:val="0"/>
          <w:i w:val="0"/>
          <w:smallCaps w:val="0"/>
          <w:strike w:val="0"/>
          <w:sz w:val="22"/>
          <w:highlight w:val="cyan"/>
          <w:u w:val="single"/>
        </w:rPr>
        <w:t>Research has shown</w:t>
      </w:r>
      <w:r>
        <w:rPr>
          <w:b w:val="0"/>
          <w:i w:val="0"/>
          <w:smallCaps w:val="0"/>
          <w:strike w:val="0"/>
          <w:sz w:val="22"/>
          <w:u w:val="single"/>
        </w:rPr>
        <w:t xml:space="preserve"> that large, </w:t>
      </w:r>
      <w:r>
        <w:rPr>
          <w:b w:val="0"/>
          <w:i w:val="0"/>
          <w:smallCaps w:val="0"/>
          <w:strike w:val="0"/>
          <w:sz w:val="22"/>
          <w:highlight w:val="cyan"/>
          <w:u w:val="single"/>
        </w:rPr>
        <w:t>fee-funded</w:t>
      </w:r>
      <w:r>
        <w:rPr>
          <w:b w:val="0"/>
          <w:i w:val="0"/>
          <w:smallCaps w:val="0"/>
          <w:strike w:val="0"/>
          <w:sz w:val="22"/>
          <w:u w:val="single"/>
        </w:rPr>
        <w:t xml:space="preserve">, business-like </w:t>
      </w:r>
      <w:r>
        <w:rPr>
          <w:b w:val="0"/>
          <w:i w:val="0"/>
          <w:smallCaps w:val="0"/>
          <w:strike w:val="0"/>
          <w:sz w:val="22"/>
          <w:highlight w:val="cyan"/>
          <w:u w:val="single"/>
        </w:rPr>
        <w:t>agencies without an operating reserve are at risk</w:t>
      </w:r>
      <w:r>
        <w:rPr>
          <w:b w:val="0"/>
          <w:i w:val="0"/>
          <w:smallCaps w:val="0"/>
          <w:strike w:val="0"/>
          <w:sz w:val="22"/>
          <w:u w:val="single"/>
        </w:rPr>
        <w:t xml:space="preserve"> of cash flow stress. </w:t>
      </w:r>
      <w:r>
        <w:rPr>
          <w:b w:val="0"/>
          <w:i w:val="0"/>
          <w:smallCaps w:val="0"/>
          <w:strike w:val="0"/>
          <w:sz w:val="22"/>
          <w:highlight w:val="cyan"/>
          <w:u w:val="single"/>
        </w:rPr>
        <w:t xml:space="preserve">The USPTO’s operating reserves enable the agency to </w:t>
      </w:r>
      <w:r>
        <w:rPr>
          <w:b/>
          <w:i w:val="0"/>
          <w:smallCaps w:val="0"/>
          <w:strike w:val="0"/>
          <w:sz w:val="22"/>
          <w:highlight w:val="cyan"/>
          <w:u w:val="single"/>
        </w:rPr>
        <w:t>mitigate</w:t>
      </w:r>
      <w:r>
        <w:rPr>
          <w:b w:val="0"/>
          <w:i w:val="0"/>
          <w:smallCaps w:val="0"/>
          <w:strike w:val="0"/>
          <w:sz w:val="22"/>
          <w:u w:val="single"/>
        </w:rPr>
        <w:t xml:space="preserve"> this </w:t>
      </w:r>
      <w:r>
        <w:rPr>
          <w:b/>
          <w:i w:val="0"/>
          <w:smallCaps w:val="0"/>
          <w:strike w:val="0"/>
          <w:sz w:val="22"/>
          <w:highlight w:val="cyan"/>
          <w:u w:val="single"/>
        </w:rPr>
        <w:t>risk</w:t>
      </w:r>
      <w:r>
        <w:rPr>
          <w:b w:val="0"/>
          <w:i w:val="0"/>
          <w:smallCaps w:val="0"/>
          <w:strike w:val="0"/>
          <w:sz w:val="22"/>
          <w:u w:val="single"/>
        </w:rPr>
        <w:t>.</w:t>
      </w:r>
      <w:r>
        <w:rPr>
          <w:b w:val="0"/>
          <w:i w:val="0"/>
          <w:smallCaps w:val="0"/>
          <w:strike w:val="0"/>
          <w:u w:val="none"/>
        </w:rPr>
        <w:t xml:space="preserve"> For instance, in FY 2019, certain federal government departments and agencies, including the DOC, shut down because of a lapse in appropriations. The USPTO was able to remain open using funds available from the operating reserves. </w:t>
      </w:r>
      <w:r>
        <w:rPr>
          <w:b w:val="0"/>
          <w:i w:val="0"/>
          <w:smallCaps w:val="0"/>
          <w:strike w:val="0"/>
          <w:sz w:val="22"/>
          <w:u w:val="single"/>
        </w:rPr>
        <w:t>This allowed the USPTO to continue operations, thus preventing a significant degradation in service levels,</w:t>
      </w:r>
      <w:r>
        <w:rPr>
          <w:b w:val="0"/>
          <w:i w:val="0"/>
          <w:smallCaps w:val="0"/>
          <w:strike w:val="0"/>
          <w:u w:val="none"/>
        </w:rPr>
        <w:t xml:space="preserve"> such as patent pendency timeframes</w:t>
      </w:r>
      <w:r>
        <w:rPr>
          <w:b w:val="0"/>
          <w:i w:val="0"/>
          <w:smallCaps w:val="0"/>
          <w:strike w:val="0"/>
          <w:u w:val="none"/>
        </w:rPr>
        <w:t xml:space="preserve">. </w:t>
      </w:r>
      <w:r>
        <w:rPr>
          <w:b w:val="0"/>
          <w:i w:val="0"/>
          <w:smallCaps w:val="0"/>
          <w:strike w:val="0"/>
          <w:sz w:val="22"/>
          <w:u w:val="single"/>
        </w:rPr>
        <w:t xml:space="preserve">The USPTO also remained open during two brief lapses in appropriations </w:t>
      </w:r>
      <w:r>
        <w:rPr>
          <w:b w:val="0"/>
          <w:i w:val="0"/>
          <w:smallCaps w:val="0"/>
          <w:strike w:val="0"/>
          <w:u w:val="none"/>
        </w:rPr>
        <w:t>in FY 2018 and a lapse of appropriations in FY 2014. These examples provide an ongoing, compelling case for the operating reserves’ significant value.</w:t>
      </w:r>
    </w:p>
    <w:p>
      <w:pPr>
        <w:spacing w:after="60"/>
      </w:pPr>
      <w:r>
        <w:rPr>
          <w:b w:val="0"/>
          <w:i w:val="0"/>
          <w:smallCaps w:val="0"/>
          <w:strike w:val="0"/>
          <w:u w:val="none"/>
        </w:rPr>
        <w:t>At</w:t>
      </w:r>
      <w:r>
        <w:rPr>
          <w:b w:val="0"/>
          <w:i w:val="0"/>
          <w:smallCaps w:val="0"/>
          <w:strike w:val="0"/>
          <w:u w:val="none"/>
        </w:rPr>
        <w:t xml:space="preserve"> page 154, the USPTO states that the ORs will ensure that the USPTO can continue to operate during times of uncertain shutdowns.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