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impact.</w:t>
      </w:r>
    </w:p>
    <w:p>
      <w:pPr>
        <w:spacing w:after="80"/>
      </w:pPr>
      <w:r>
        <w:rPr>
          <w:b/>
          <w:i w:val="0"/>
          <w:smallCaps w:val="0"/>
          <w:strike w:val="0"/>
          <w:color w:val="000000"/>
          <w:sz w:val="26"/>
          <w:u w:val="none"/>
        </w:rPr>
        <w:t>Buhaug</w:t>
      </w:r>
      <w:r>
        <w:rPr>
          <w:b/>
          <w:i w:val="0"/>
          <w:smallCaps w:val="0"/>
          <w:strike w:val="0"/>
          <w:color w:val="000000"/>
          <w:sz w:val="26"/>
          <w:u w:val="none"/>
        </w:rPr>
        <w:t xml:space="preserve"> et al, PhDs, 15</w:t>
      </w:r>
      <w:r>
        <w:rPr>
          <w:b w:val="0"/>
          <w:i w:val="0"/>
          <w:smallCaps w:val="0"/>
          <w:strike w:val="0"/>
          <w:color w:val="000000"/>
          <w:u w:val="none"/>
        </w:rPr>
        <w:t xml:space="preserve"> (Halvard, Political Science from NTNU, Tor A Benjaminsen, Human Geography from Roskilde, Espen Sjaastad, Resource Economics from NMBU, and Ole Magnus Theisen, Political Science from NTNU, Climate variability, food production shocks, and violent conflict in Sub-Saharan Africa, Environmental Research Letters 10(12)) BW</w:t>
      </w:r>
    </w:p>
    <w:p>
      <w:pPr>
        <w:spacing w:after="60"/>
      </w:pPr>
      <w:r>
        <w:rPr>
          <w:b/>
          <w:i w:val="0"/>
          <w:smallCaps w:val="0"/>
          <w:strike w:val="0"/>
          <w:color w:val="000000"/>
          <w:u w:val="single"/>
        </w:rPr>
        <w:t>Across all models,</w:t>
      </w:r>
      <w:r>
        <w:rPr>
          <w:b w:val="0"/>
          <w:i w:val="0"/>
          <w:smallCaps w:val="0"/>
          <w:strike w:val="0"/>
          <w:color w:val="000000"/>
          <w:u w:val="none"/>
        </w:rPr>
        <w:t xml:space="preserve"> </w:t>
      </w:r>
      <w:r>
        <w:rPr>
          <w:b w:val="0"/>
          <w:i w:val="0"/>
          <w:smallCaps w:val="0"/>
          <w:strike w:val="0"/>
          <w:color w:val="000000"/>
          <w:u w:val="single"/>
        </w:rPr>
        <w:t>we find</w:t>
      </w:r>
      <w:r>
        <w:rPr>
          <w:b w:val="0"/>
          <w:i w:val="0"/>
          <w:smallCaps w:val="0"/>
          <w:strike w:val="0"/>
          <w:color w:val="000000"/>
          <w:u w:val="none"/>
        </w:rPr>
        <w:t xml:space="preserve"> relatively </w:t>
      </w:r>
      <w:r>
        <w:rPr>
          <w:b/>
          <w:i w:val="0"/>
          <w:smallCaps w:val="0"/>
          <w:strike w:val="0"/>
          <w:color w:val="000000"/>
          <w:u w:val="single"/>
        </w:rPr>
        <w:t>weak and insignificant effects</w:t>
      </w:r>
      <w:r>
        <w:rPr>
          <w:b w:val="0"/>
          <w:i w:val="0"/>
          <w:smallCaps w:val="0"/>
          <w:strike w:val="0"/>
          <w:color w:val="000000"/>
          <w:u w:val="none"/>
        </w:rPr>
        <w:t xml:space="preserve"> </w:t>
      </w:r>
      <w:r>
        <w:rPr>
          <w:b w:val="0"/>
          <w:i w:val="0"/>
          <w:smallCaps w:val="0"/>
          <w:strike w:val="0"/>
          <w:color w:val="000000"/>
          <w:u w:val="single"/>
        </w:rPr>
        <w:t xml:space="preserve">for domestic food </w:t>
      </w:r>
      <w:r>
        <w:rPr>
          <w:b w:val="0"/>
          <w:i w:val="0"/>
          <w:smallCaps w:val="0"/>
          <w:strike w:val="0"/>
          <w:color w:val="000000"/>
          <w:u w:val="single"/>
        </w:rPr>
        <w:t>production</w:t>
      </w:r>
      <w:r>
        <w:rPr>
          <w:b w:val="0"/>
          <w:i w:val="0"/>
          <w:smallCaps w:val="0"/>
          <w:strike w:val="0"/>
          <w:color w:val="000000"/>
          <w:u w:val="none"/>
        </w:rPr>
        <w:t xml:space="preserve"> and we also note that the sign of the coefficients shifts between outcome types. In this sense, table 1 implicitly contrasts both claims that political violence is more prevalent when basic needs are met (</w:t>
      </w:r>
      <w:r>
        <w:rPr>
          <w:b w:val="0"/>
          <w:i w:val="0"/>
          <w:smallCaps w:val="0"/>
          <w:strike w:val="0"/>
          <w:color w:val="000000"/>
          <w:u w:val="none"/>
        </w:rPr>
        <w:t>Salehyan</w:t>
      </w:r>
      <w:r>
        <w:rPr>
          <w:b w:val="0"/>
          <w:i w:val="0"/>
          <w:smallCaps w:val="0"/>
          <w:strike w:val="0"/>
          <w:color w:val="000000"/>
          <w:u w:val="none"/>
        </w:rPr>
        <w:t xml:space="preserve"> and Hendrix 2014) and claims that agricultural income shocks increase civil conflict risk (von </w:t>
      </w:r>
      <w:r>
        <w:rPr>
          <w:b w:val="0"/>
          <w:i w:val="0"/>
          <w:smallCaps w:val="0"/>
          <w:strike w:val="0"/>
          <w:color w:val="000000"/>
          <w:u w:val="none"/>
        </w:rPr>
        <w:t>Uexkull</w:t>
      </w:r>
      <w:r>
        <w:rPr>
          <w:b w:val="0"/>
          <w:i w:val="0"/>
          <w:smallCaps w:val="0"/>
          <w:strike w:val="0"/>
          <w:color w:val="000000"/>
          <w:u w:val="none"/>
        </w:rPr>
        <w:t xml:space="preserve"> 2014). The results are consistent with </w:t>
      </w:r>
      <w:r>
        <w:rPr>
          <w:b w:val="0"/>
          <w:i w:val="0"/>
          <w:smallCaps w:val="0"/>
          <w:strike w:val="0"/>
          <w:color w:val="000000"/>
          <w:u w:val="single"/>
        </w:rPr>
        <w:t>Koubi</w:t>
      </w:r>
      <w:r>
        <w:rPr>
          <w:b w:val="0"/>
          <w:i w:val="0"/>
          <w:smallCaps w:val="0"/>
          <w:strike w:val="0"/>
          <w:color w:val="000000"/>
          <w:u w:val="none"/>
        </w:rPr>
        <w:t xml:space="preserve"> et al (2012) </w:t>
      </w:r>
      <w:r>
        <w:rPr>
          <w:b w:val="0"/>
          <w:i w:val="0"/>
          <w:smallCaps w:val="0"/>
          <w:strike w:val="0"/>
          <w:color w:val="000000"/>
          <w:u w:val="single"/>
        </w:rPr>
        <w:t xml:space="preserve">and van </w:t>
      </w:r>
      <w:r>
        <w:rPr>
          <w:b w:val="0"/>
          <w:i w:val="0"/>
          <w:smallCaps w:val="0"/>
          <w:strike w:val="0"/>
          <w:color w:val="000000"/>
          <w:u w:val="single"/>
        </w:rPr>
        <w:t>Weezel</w:t>
      </w:r>
      <w:r>
        <w:rPr>
          <w:b w:val="0"/>
          <w:i w:val="0"/>
          <w:smallCaps w:val="0"/>
          <w:strike w:val="0"/>
          <w:color w:val="000000"/>
          <w:u w:val="none"/>
        </w:rPr>
        <w:t xml:space="preserve"> (2015), however, who </w:t>
      </w:r>
      <w:r>
        <w:rPr>
          <w:b w:val="0"/>
          <w:i w:val="0"/>
          <w:smallCaps w:val="0"/>
          <w:strike w:val="0"/>
          <w:color w:val="000000"/>
          <w:u w:val="single"/>
        </w:rPr>
        <w:t>conclude that rainfall—a significant determinant of yields</w:t>
      </w:r>
      <w:r>
        <w:rPr>
          <w:b w:val="0"/>
          <w:i w:val="0"/>
          <w:smallCaps w:val="0"/>
          <w:strike w:val="0"/>
          <w:color w:val="000000"/>
          <w:u w:val="none"/>
        </w:rPr>
        <w:t xml:space="preserve"> in SSA—</w:t>
      </w:r>
      <w:r>
        <w:rPr>
          <w:b w:val="0"/>
          <w:i w:val="0"/>
          <w:smallCaps w:val="0"/>
          <w:strike w:val="0"/>
          <w:color w:val="000000"/>
          <w:u w:val="single"/>
        </w:rPr>
        <w:t>has little impact on conflict either directly or through economic performance.</w:t>
      </w:r>
      <w:r>
        <w:rPr>
          <w:b w:val="0"/>
          <w:i w:val="0"/>
          <w:smallCaps w:val="0"/>
          <w:strike w:val="0"/>
          <w:color w:val="000000"/>
          <w:u w:val="none"/>
        </w:rPr>
        <w:t xml:space="preserve"> The covariate that best and most consistently explains temporal variation in political violence is the time-lagged conflict incidence indicator. Models 1–2 show that a new civil conflict is unlikely to break out if another one is already ongoing in the same country whereas Models 3–6, which capture the occurrence of less organized conflict, demonstrate that violence begets violence. </w:t>
      </w:r>
      <w:r>
        <w:rPr>
          <w:b w:val="0"/>
          <w:i w:val="0"/>
          <w:smallCaps w:val="0"/>
          <w:strike w:val="0"/>
          <w:color w:val="000000"/>
          <w:u w:val="none"/>
        </w:rPr>
        <w:t>Coups</w:t>
      </w:r>
      <w:r>
        <w:rPr>
          <w:b w:val="0"/>
          <w:i w:val="0"/>
          <w:smallCaps w:val="0"/>
          <w:strike w:val="0"/>
          <w:color w:val="000000"/>
          <w:u w:val="none"/>
        </w:rPr>
        <w:t xml:space="preserve"> d’état (Models 7–8) exhibit a comparatively weak temporal correlation pattern in our data and are generally regarded as a highly unpredictable phenomenon (</w:t>
      </w:r>
      <w:r>
        <w:rPr>
          <w:b w:val="0"/>
          <w:i w:val="0"/>
          <w:smallCaps w:val="0"/>
          <w:strike w:val="0"/>
          <w:color w:val="000000"/>
          <w:u w:val="none"/>
        </w:rPr>
        <w:t>Luttwak</w:t>
      </w:r>
      <w:r>
        <w:rPr>
          <w:b w:val="0"/>
          <w:i w:val="0"/>
          <w:smallCaps w:val="0"/>
          <w:strike w:val="0"/>
          <w:color w:val="000000"/>
          <w:u w:val="none"/>
        </w:rPr>
        <w:t xml:space="preserve"> 1979). Next, </w:t>
      </w:r>
      <w:r>
        <w:rPr>
          <w:b w:val="0"/>
          <w:i w:val="0"/>
          <w:smallCaps w:val="0"/>
          <w:strike w:val="0"/>
          <w:color w:val="000000"/>
          <w:u w:val="single"/>
        </w:rPr>
        <w:t>we estimate</w:t>
      </w:r>
      <w:r>
        <w:rPr>
          <w:b w:val="0"/>
          <w:i w:val="0"/>
          <w:smallCaps w:val="0"/>
          <w:strike w:val="0"/>
          <w:color w:val="000000"/>
          <w:u w:val="none"/>
        </w:rPr>
        <w:t xml:space="preserve"> the same set of </w:t>
      </w:r>
      <w:r>
        <w:rPr>
          <w:b w:val="0"/>
          <w:i w:val="0"/>
          <w:smallCaps w:val="0"/>
          <w:strike w:val="0"/>
          <w:color w:val="000000"/>
          <w:u w:val="single"/>
        </w:rPr>
        <w:t>models on a subsample of 14 countries in SSA where rainfall has a large</w:t>
      </w:r>
      <w:r>
        <w:rPr>
          <w:b w:val="0"/>
          <w:i w:val="0"/>
          <w:smallCaps w:val="0"/>
          <w:strike w:val="0"/>
          <w:color w:val="000000"/>
          <w:u w:val="none"/>
        </w:rPr>
        <w:t xml:space="preserve"> and significant </w:t>
      </w:r>
      <w:r>
        <w:rPr>
          <w:b w:val="0"/>
          <w:i w:val="0"/>
          <w:smallCaps w:val="0"/>
          <w:strike w:val="0"/>
          <w:color w:val="000000"/>
          <w:u w:val="single"/>
        </w:rPr>
        <w:t>positive effect on food production</w:t>
      </w:r>
      <w:r>
        <w:rPr>
          <w:b w:val="0"/>
          <w:i w:val="0"/>
          <w:smallCaps w:val="0"/>
          <w:strike w:val="0"/>
          <w:color w:val="000000"/>
          <w:u w:val="none"/>
        </w:rPr>
        <w:t xml:space="preserve"> (figure 2(b); see supplementary information, section B for details). To better capture the influence of climate variability and reduce concerns with endogeneity, we further replace the standard OLS model with </w:t>
      </w:r>
      <w:r>
        <w:rPr>
          <w:b w:val="0"/>
          <w:i w:val="0"/>
          <w:smallCaps w:val="0"/>
          <w:strike w:val="0"/>
          <w:color w:val="000000"/>
          <w:u w:val="none"/>
        </w:rPr>
        <w:t>twostage</w:t>
      </w:r>
      <w:r>
        <w:rPr>
          <w:b w:val="0"/>
          <w:i w:val="0"/>
          <w:smallCaps w:val="0"/>
          <w:strike w:val="0"/>
          <w:color w:val="000000"/>
          <w:u w:val="none"/>
        </w:rPr>
        <w:t xml:space="preserve"> instrumental variable regression. The first stage in this model estimates the joint influence of annual rainfall (linear and squared terms) and temperature (linear) on contemporaneous food production. This effect then constitutes the exogenous instrument for food production in the second stage. The results are reported in table 2. Mirroring the results presented above, </w:t>
      </w:r>
      <w:r>
        <w:rPr>
          <w:b w:val="0"/>
          <w:i w:val="0"/>
          <w:smallCaps w:val="0"/>
          <w:strike w:val="0"/>
          <w:color w:val="000000"/>
          <w:u w:val="single"/>
        </w:rPr>
        <w:t>we fail to uncover a robust signal for agricultural performance,</w:t>
      </w:r>
      <w:r>
        <w:rPr>
          <w:b w:val="0"/>
          <w:i w:val="0"/>
          <w:smallCaps w:val="0"/>
          <w:strike w:val="0"/>
          <w:color w:val="000000"/>
          <w:u w:val="none"/>
        </w:rPr>
        <w:t xml:space="preserve"> although the sign of the coefficient for food production now remains negative in seven of the eight specifications. Food production shocks may have different consequences depending on the socioeconomic context, so next we consider a series of interactive relationships. Specifically, we investigate the joint effect of food production and (</w:t>
      </w:r>
      <w:r>
        <w:rPr>
          <w:b w:val="0"/>
          <w:i w:val="0"/>
          <w:smallCaps w:val="0"/>
          <w:strike w:val="0"/>
          <w:color w:val="000000"/>
          <w:u w:val="none"/>
        </w:rPr>
        <w:t>i</w:t>
      </w:r>
      <w:r>
        <w:rPr>
          <w:b w:val="0"/>
          <w:i w:val="0"/>
          <w:smallCaps w:val="0"/>
          <w:strike w:val="0"/>
          <w:color w:val="000000"/>
          <w:u w:val="none"/>
        </w:rPr>
        <w:t>) low level of development, (ii) extent of discriminatory political system, and (iii) economic dependence on agriculture; three conditions whereby loss of income from agriculture might constitute a particular challenge to society. To model these interactions, we include time-varying regressors instead of country-fixed effects where (</w:t>
      </w:r>
      <w:r>
        <w:rPr>
          <w:b w:val="0"/>
          <w:i w:val="0"/>
          <w:smallCaps w:val="0"/>
          <w:strike w:val="0"/>
          <w:color w:val="000000"/>
          <w:u w:val="none"/>
        </w:rPr>
        <w:t>i</w:t>
      </w:r>
      <w:r>
        <w:rPr>
          <w:b w:val="0"/>
          <w:i w:val="0"/>
          <w:smallCaps w:val="0"/>
          <w:strike w:val="0"/>
          <w:color w:val="000000"/>
          <w:u w:val="none"/>
        </w:rPr>
        <w:t>) is represented by infant mortality rate (IMR; World Bank 2014), (ii) is captured using the Ethnic Power Relations v.1.1 data (</w:t>
      </w:r>
      <w:r>
        <w:rPr>
          <w:b w:val="0"/>
          <w:i w:val="0"/>
          <w:smallCaps w:val="0"/>
          <w:strike w:val="0"/>
          <w:color w:val="000000"/>
          <w:u w:val="none"/>
        </w:rPr>
        <w:t>Cederman</w:t>
      </w:r>
      <w:r>
        <w:rPr>
          <w:b w:val="0"/>
          <w:i w:val="0"/>
          <w:smallCaps w:val="0"/>
          <w:strike w:val="0"/>
          <w:color w:val="000000"/>
          <w:u w:val="none"/>
        </w:rPr>
        <w:t xml:space="preserve"> et al 2010), while (iii) uses an index of agricultural contribution to GDP (World Bank 2014). Moreover, to preserve focus on temporal dynamics, food production is now operationalized as yearly deviation from the country mean, 1961–2009. We use additive inverse deviation values to ensure theoretical consistency among the components in the interaction terms. </w:t>
      </w:r>
      <w:r>
        <w:rPr>
          <w:b w:val="0"/>
          <w:i w:val="0"/>
          <w:smallCaps w:val="0"/>
          <w:strike w:val="0"/>
          <w:color w:val="000000"/>
          <w:u w:val="single"/>
        </w:rPr>
        <w:t xml:space="preserve">All models </w:t>
      </w:r>
      <w:r>
        <w:rPr>
          <w:b w:val="0"/>
          <w:i w:val="0"/>
          <w:smallCaps w:val="0"/>
          <w:strike w:val="0"/>
          <w:color w:val="000000"/>
          <w:u w:val="single"/>
        </w:rPr>
        <w:t>control for</w:t>
      </w:r>
      <w:r>
        <w:rPr>
          <w:b w:val="0"/>
          <w:i w:val="0"/>
          <w:smallCaps w:val="0"/>
          <w:strike w:val="0"/>
          <w:color w:val="000000"/>
          <w:u w:val="none"/>
        </w:rPr>
        <w:t xml:space="preserve"> (ln) </w:t>
      </w:r>
      <w:r>
        <w:rPr>
          <w:b w:val="0"/>
          <w:i w:val="0"/>
          <w:smallCaps w:val="0"/>
          <w:strike w:val="0"/>
          <w:color w:val="000000"/>
          <w:u w:val="single"/>
        </w:rPr>
        <w:t>population size, conflict history, and a common time trend, and models without IMR and agricultural dependence additionally control for</w:t>
      </w:r>
      <w:r>
        <w:rPr>
          <w:b w:val="0"/>
          <w:i w:val="0"/>
          <w:smallCaps w:val="0"/>
          <w:strike w:val="0"/>
          <w:color w:val="000000"/>
          <w:u w:val="none"/>
        </w:rPr>
        <w:t xml:space="preserve"> (ln) </w:t>
      </w:r>
      <w:r>
        <w:rPr>
          <w:b w:val="0"/>
          <w:i w:val="0"/>
          <w:smallCaps w:val="0"/>
          <w:strike w:val="0"/>
          <w:color w:val="000000"/>
          <w:u w:val="single"/>
        </w:rPr>
        <w:t>GDP per capita.</w:t>
      </w:r>
      <w:r>
        <w:rPr>
          <w:b w:val="0"/>
          <w:i w:val="0"/>
          <w:smallCaps w:val="0"/>
          <w:strike w:val="0"/>
          <w:color w:val="000000"/>
          <w:u w:val="none"/>
        </w:rPr>
        <w:t xml:space="preserve"> The results are presented in table 3. Again, </w:t>
      </w:r>
      <w:r>
        <w:rPr>
          <w:b/>
          <w:i w:val="0"/>
          <w:smallCaps w:val="0"/>
          <w:strike w:val="0"/>
          <w:color w:val="000000"/>
          <w:u w:val="single"/>
        </w:rPr>
        <w:t>we are unsuccessful in establishing</w:t>
      </w:r>
      <w:r>
        <w:rPr>
          <w:b w:val="0"/>
          <w:i w:val="0"/>
          <w:smallCaps w:val="0"/>
          <w:strike w:val="0"/>
          <w:color w:val="000000"/>
          <w:u w:val="none"/>
        </w:rPr>
        <w:t xml:space="preserve"> </w:t>
      </w:r>
      <w:r>
        <w:rPr>
          <w:b/>
          <w:i w:val="0"/>
          <w:smallCaps w:val="0"/>
          <w:strike w:val="0"/>
          <w:color w:val="000000"/>
          <w:u w:val="single"/>
        </w:rPr>
        <w:t>a</w:t>
      </w:r>
      <w:r>
        <w:rPr>
          <w:b w:val="0"/>
          <w:i w:val="0"/>
          <w:smallCaps w:val="0"/>
          <w:strike w:val="0"/>
          <w:color w:val="000000"/>
          <w:u w:val="none"/>
        </w:rPr>
        <w:t xml:space="preserve"> </w:t>
      </w:r>
      <w:r>
        <w:rPr>
          <w:b/>
          <w:i w:val="0"/>
          <w:smallCaps w:val="0"/>
          <w:strike w:val="0"/>
          <w:color w:val="000000"/>
          <w:u w:val="single"/>
        </w:rPr>
        <w:t>consistent covariation</w:t>
      </w:r>
      <w:r>
        <w:rPr>
          <w:b w:val="0"/>
          <w:i w:val="0"/>
          <w:smallCaps w:val="0"/>
          <w:strike w:val="0"/>
          <w:color w:val="000000"/>
          <w:u w:val="none"/>
        </w:rPr>
        <w:t xml:space="preserve"> </w:t>
      </w:r>
      <w:r>
        <w:rPr>
          <w:b/>
          <w:i w:val="0"/>
          <w:smallCaps w:val="0"/>
          <w:strike w:val="0"/>
          <w:color w:val="000000"/>
          <w:u w:val="single"/>
        </w:rPr>
        <w:t>pattern between ag</w:t>
      </w:r>
      <w:r>
        <w:rPr>
          <w:b/>
          <w:i w:val="0"/>
          <w:smallCaps w:val="0"/>
          <w:strike w:val="0"/>
          <w:color w:val="000000"/>
          <w:u w:val="single"/>
        </w:rPr>
        <w:t>ricultural</w:t>
      </w:r>
      <w:r>
        <w:rPr>
          <w:b w:val="0"/>
          <w:i w:val="0"/>
          <w:smallCaps w:val="0"/>
          <w:strike w:val="0"/>
          <w:color w:val="000000"/>
          <w:u w:val="none"/>
        </w:rPr>
        <w:t xml:space="preserve"> </w:t>
      </w:r>
      <w:r>
        <w:rPr>
          <w:b/>
          <w:i w:val="0"/>
          <w:smallCaps w:val="0"/>
          <w:strike w:val="0"/>
          <w:color w:val="000000"/>
          <w:u w:val="single"/>
        </w:rPr>
        <w:t>performance and political violence</w:t>
      </w:r>
      <w:r>
        <w:rPr>
          <w:b/>
          <w:i w:val="0"/>
          <w:smallCaps w:val="0"/>
          <w:strike w:val="0"/>
          <w:color w:val="000000"/>
          <w:u w:val="single"/>
        </w:rPr>
        <w:t>.</w:t>
      </w:r>
      <w:r>
        <w:rPr>
          <w:b w:val="0"/>
          <w:i w:val="0"/>
          <w:smallCaps w:val="0"/>
          <w:strike w:val="0"/>
          <w:color w:val="000000"/>
          <w:u w:val="none"/>
        </w:rPr>
        <w:t xml:space="preserve"> Interpreting the combined effect of interaction terms with continuous parameters is inherently difficult but figure 4 shows that </w:t>
      </w:r>
      <w:r>
        <w:rPr>
          <w:b w:val="0"/>
          <w:i w:val="0"/>
          <w:smallCaps w:val="0"/>
          <w:strike w:val="0"/>
          <w:color w:val="000000"/>
          <w:u w:val="single"/>
        </w:rPr>
        <w:t>food production is insignificantly related to all conflict outcomes across levels of socioeconomic development</w:t>
      </w:r>
      <w:r>
        <w:rPr>
          <w:b w:val="0"/>
          <w:i w:val="0"/>
          <w:smallCaps w:val="0"/>
          <w:strike w:val="0"/>
          <w:color w:val="000000"/>
          <w:u w:val="none"/>
        </w:rPr>
        <w:t xml:space="preserve"> for all three interaction terms. </w:t>
      </w:r>
      <w:r>
        <w:rPr>
          <w:b w:val="0"/>
          <w:i w:val="0"/>
          <w:smallCaps w:val="0"/>
          <w:strike w:val="0"/>
          <w:color w:val="000000"/>
          <w:u w:val="single"/>
        </w:rPr>
        <w:t>The sole exception is</w:t>
      </w:r>
      <w:r>
        <w:rPr>
          <w:b w:val="0"/>
          <w:i w:val="0"/>
          <w:smallCaps w:val="0"/>
          <w:strike w:val="0"/>
          <w:color w:val="000000"/>
          <w:u w:val="none"/>
        </w:rPr>
        <w:t xml:space="preserve"> the result in Model 24, </w:t>
      </w:r>
      <w:r>
        <w:rPr>
          <w:b w:val="0"/>
          <w:i w:val="0"/>
          <w:smallCaps w:val="0"/>
          <w:strike w:val="0"/>
          <w:color w:val="000000"/>
          <w:u w:val="single"/>
        </w:rPr>
        <w:t>where lower food production</w:t>
      </w:r>
      <w:r>
        <w:rPr>
          <w:b w:val="0"/>
          <w:i w:val="0"/>
          <w:smallCaps w:val="0"/>
          <w:strike w:val="0"/>
          <w:color w:val="000000"/>
          <w:u w:val="none"/>
        </w:rPr>
        <w:t xml:space="preserve"> in highly discriminatory societies </w:t>
      </w:r>
      <w:r>
        <w:rPr>
          <w:b w:val="0"/>
          <w:i w:val="0"/>
          <w:smallCaps w:val="0"/>
          <w:strike w:val="0"/>
          <w:color w:val="000000"/>
          <w:u w:val="single"/>
        </w:rPr>
        <w:t>is negatively associated with</w:t>
      </w:r>
      <w:r>
        <w:rPr>
          <w:b w:val="0"/>
          <w:i w:val="0"/>
          <w:smallCaps w:val="0"/>
          <w:strike w:val="0"/>
          <w:color w:val="000000"/>
          <w:u w:val="none"/>
        </w:rPr>
        <w:t xml:space="preserve"> non-state </w:t>
      </w:r>
      <w:r>
        <w:rPr>
          <w:b w:val="0"/>
          <w:i w:val="0"/>
          <w:smallCaps w:val="0"/>
          <w:strike w:val="0"/>
          <w:color w:val="000000"/>
          <w:u w:val="single"/>
        </w:rPr>
        <w:t>conflict. This result would seem to</w:t>
      </w:r>
      <w:r>
        <w:rPr>
          <w:b w:val="0"/>
          <w:i w:val="0"/>
          <w:smallCaps w:val="0"/>
          <w:strike w:val="0"/>
          <w:color w:val="000000"/>
          <w:u w:val="none"/>
        </w:rPr>
        <w:t xml:space="preserve"> </w:t>
      </w:r>
      <w:r>
        <w:rPr>
          <w:b/>
          <w:i w:val="0"/>
          <w:smallCaps w:val="0"/>
          <w:strike w:val="0"/>
          <w:color w:val="000000"/>
          <w:u w:val="single"/>
        </w:rPr>
        <w:t>contradict the standard scarcity thesis</w:t>
      </w:r>
      <w:r>
        <w:rPr>
          <w:b w:val="0"/>
          <w:i w:val="0"/>
          <w:smallCaps w:val="0"/>
          <w:strike w:val="0"/>
          <w:color w:val="000000"/>
          <w:u w:val="none"/>
        </w:rPr>
        <w:t xml:space="preserve"> (Homer-Dixon 1999) although it is consistent with observations that conflict is more prevalent during surplus years (</w:t>
      </w:r>
      <w:r>
        <w:rPr>
          <w:b w:val="0"/>
          <w:i w:val="0"/>
          <w:smallCaps w:val="0"/>
          <w:strike w:val="0"/>
          <w:color w:val="000000"/>
          <w:u w:val="none"/>
        </w:rPr>
        <w:t>Witsenburg</w:t>
      </w:r>
      <w:r>
        <w:rPr>
          <w:b w:val="0"/>
          <w:i w:val="0"/>
          <w:smallCaps w:val="0"/>
          <w:strike w:val="0"/>
          <w:color w:val="000000"/>
          <w:u w:val="none"/>
        </w:rPr>
        <w:t xml:space="preserve"> and </w:t>
      </w:r>
      <w:r>
        <w:rPr>
          <w:b w:val="0"/>
          <w:i w:val="0"/>
          <w:smallCaps w:val="0"/>
          <w:strike w:val="0"/>
          <w:color w:val="000000"/>
          <w:u w:val="none"/>
        </w:rPr>
        <w:t>Adano</w:t>
      </w:r>
      <w:r>
        <w:rPr>
          <w:b w:val="0"/>
          <w:i w:val="0"/>
          <w:smallCaps w:val="0"/>
          <w:strike w:val="0"/>
          <w:color w:val="000000"/>
          <w:u w:val="none"/>
        </w:rPr>
        <w:t xml:space="preserve"> 2009, </w:t>
      </w:r>
      <w:r>
        <w:rPr>
          <w:b w:val="0"/>
          <w:i w:val="0"/>
          <w:smallCaps w:val="0"/>
          <w:strike w:val="0"/>
          <w:color w:val="000000"/>
          <w:u w:val="none"/>
        </w:rPr>
        <w:t>Salehyan</w:t>
      </w:r>
      <w:r>
        <w:rPr>
          <w:b w:val="0"/>
          <w:i w:val="0"/>
          <w:smallCaps w:val="0"/>
          <w:strike w:val="0"/>
          <w:color w:val="000000"/>
          <w:u w:val="none"/>
        </w:rPr>
        <w:t xml:space="preserve"> and Hendrix 2014). Mirroring earlier research, ethnopolitical exclusion is strongly related to higher civil conflict risk, but not necessarily to other forms of political violence. Infant mortality rate and economic dependence on agriculture appear largely irrelevant. While this may come as a surprise, recall that most countries in SSA are characterized by underdevelopment and a large agricultural sector, implying that the variation in values on these indicators is modest. Large parameter uncertainties and p-values above the conventional significance threshold (5%) may disguise substantively important effects (Ward et al 2010). Accordingly, as a final assessment, we conduct a set of out-of-sample simulations and compare predictions for models with and without food production. The models are estimated on a subset of the full sample, in this case all years before 2000, and the estimated effects are then used to predict conflict outcomes out of sample, i.e., the 2000–09 period. Figure 5 shows the predicted values from four pairs of models that are specified similarly to Models 17, 20, 23, and 26, except for the shorter </w:t>
      </w:r>
      <w:r>
        <w:rPr>
          <w:b w:val="0"/>
          <w:i w:val="0"/>
          <w:smallCaps w:val="0"/>
          <w:strike w:val="0"/>
          <w:color w:val="000000"/>
          <w:u w:val="none"/>
        </w:rPr>
        <w:t>time period</w:t>
      </w:r>
      <w:r>
        <w:rPr>
          <w:b w:val="0"/>
          <w:i w:val="0"/>
          <w:smallCaps w:val="0"/>
          <w:strike w:val="0"/>
          <w:color w:val="000000"/>
          <w:u w:val="none"/>
        </w:rPr>
        <w:t xml:space="preserve"> and the fact that one model in each pair drops the food production deviation variable. </w:t>
      </w:r>
      <w:r>
        <w:rPr>
          <w:b w:val="0"/>
          <w:i w:val="0"/>
          <w:smallCaps w:val="0"/>
          <w:strike w:val="0"/>
          <w:color w:val="000000"/>
          <w:u w:val="single"/>
        </w:rPr>
        <w:t>For civil conflict and social unrest, the models generate very similar predictions, signaling that</w:t>
      </w:r>
      <w:r>
        <w:rPr>
          <w:b w:val="0"/>
          <w:i w:val="0"/>
          <w:smallCaps w:val="0"/>
          <w:strike w:val="0"/>
          <w:color w:val="000000"/>
          <w:u w:val="none"/>
        </w:rPr>
        <w:t xml:space="preserve"> </w:t>
      </w:r>
      <w:r>
        <w:rPr>
          <w:b/>
          <w:i w:val="0"/>
          <w:smallCaps w:val="0"/>
          <w:strike w:val="0"/>
          <w:color w:val="000000"/>
          <w:u w:val="single"/>
        </w:rPr>
        <w:t>agricultural performance adds little to the models’ predictive power.</w:t>
      </w:r>
      <w:r>
        <w:rPr>
          <w:b w:val="0"/>
          <w:i w:val="0"/>
          <w:smallCaps w:val="0"/>
          <w:strike w:val="0"/>
          <w:color w:val="000000"/>
          <w:u w:val="none"/>
        </w:rPr>
        <w:t xml:space="preserve"> There is more spread in the predictions for the remaining two outcome categories. </w:t>
      </w:r>
      <w:r>
        <w:rPr>
          <w:b w:val="0"/>
          <w:i w:val="0"/>
          <w:smallCaps w:val="0"/>
          <w:strike w:val="0"/>
          <w:color w:val="000000"/>
          <w:u w:val="single"/>
        </w:rPr>
        <w:t>Puzzlingly,</w:t>
      </w:r>
      <w:r>
        <w:rPr>
          <w:b w:val="0"/>
          <w:i w:val="0"/>
          <w:smallCaps w:val="0"/>
          <w:strike w:val="0"/>
          <w:color w:val="000000"/>
          <w:u w:val="none"/>
        </w:rPr>
        <w:t xml:space="preserve"> </w:t>
      </w:r>
      <w:r>
        <w:rPr>
          <w:b/>
          <w:i w:val="0"/>
          <w:smallCaps w:val="0"/>
          <w:strike w:val="0"/>
          <w:color w:val="000000"/>
          <w:u w:val="single"/>
        </w:rPr>
        <w:t>the</w:t>
      </w:r>
      <w:r>
        <w:rPr>
          <w:b w:val="0"/>
          <w:i w:val="0"/>
          <w:smallCaps w:val="0"/>
          <w:strike w:val="0"/>
          <w:color w:val="000000"/>
          <w:u w:val="none"/>
        </w:rPr>
        <w:t xml:space="preserve"> </w:t>
      </w:r>
      <w:r>
        <w:rPr>
          <w:b/>
          <w:i w:val="0"/>
          <w:smallCaps w:val="0"/>
          <w:strike w:val="0"/>
          <w:color w:val="000000"/>
          <w:u w:val="single"/>
        </w:rPr>
        <w:t>model without food production performs better</w:t>
      </w:r>
      <w:r>
        <w:rPr>
          <w:b w:val="0"/>
          <w:i w:val="0"/>
          <w:smallCaps w:val="0"/>
          <w:strike w:val="0"/>
          <w:color w:val="000000"/>
          <w:u w:val="none"/>
        </w:rPr>
        <w:t xml:space="preserve"> </w:t>
      </w:r>
      <w:r>
        <w:rPr>
          <w:b w:val="0"/>
          <w:i w:val="0"/>
          <w:smallCaps w:val="0"/>
          <w:strike w:val="0"/>
          <w:color w:val="000000"/>
          <w:u w:val="single"/>
        </w:rPr>
        <w:t>in both cases</w:t>
      </w:r>
      <w:r>
        <w:rPr>
          <w:b w:val="0"/>
          <w:i w:val="0"/>
          <w:smallCaps w:val="0"/>
          <w:strike w:val="0"/>
          <w:color w:val="000000"/>
          <w:u w:val="none"/>
        </w:rPr>
        <w:t xml:space="preserve">—i.e., the Receiver Operating Characteristics curves have higher ‘Area Under the Curve’ scores. We hesitate to put too much emphasis on the ROC tests, given the rareness of the </w:t>
      </w:r>
      <w:r>
        <w:rPr>
          <w:b w:val="0"/>
          <w:i w:val="0"/>
          <w:smallCaps w:val="0"/>
          <w:strike w:val="0"/>
          <w:color w:val="000000"/>
          <w:u w:val="none"/>
        </w:rPr>
        <w:t>outcomes(</w:t>
      </w:r>
      <w:r>
        <w:rPr>
          <w:b w:val="0"/>
          <w:i w:val="0"/>
          <w:smallCaps w:val="0"/>
          <w:strike w:val="0"/>
          <w:color w:val="000000"/>
          <w:u w:val="none"/>
        </w:rPr>
        <w:t xml:space="preserve">notably Models 17 and 26) and the relatively small training samples (Models 20 and 23), but nonetheless the patterns observed in the out-of-sample simulations substantiate the regression results reported above; </w:t>
      </w:r>
      <w:r>
        <w:rPr>
          <w:b w:val="0"/>
          <w:i w:val="0"/>
          <w:smallCaps w:val="0"/>
          <w:strike w:val="0"/>
          <w:color w:val="000000"/>
          <w:u w:val="single"/>
        </w:rPr>
        <w:t>fluctuations in agricultural output</w:t>
      </w:r>
      <w:r>
        <w:rPr>
          <w:b w:val="0"/>
          <w:i w:val="0"/>
          <w:smallCaps w:val="0"/>
          <w:strike w:val="0"/>
          <w:color w:val="000000"/>
          <w:u w:val="none"/>
        </w:rPr>
        <w:t xml:space="preserve"> </w:t>
      </w:r>
      <w:r>
        <w:rPr>
          <w:b/>
          <w:i w:val="0"/>
          <w:smallCaps w:val="0"/>
          <w:strike w:val="0"/>
          <w:color w:val="000000"/>
          <w:u w:val="single"/>
        </w:rPr>
        <w:t>explain little</w:t>
      </w:r>
      <w:r>
        <w:rPr>
          <w:b w:val="0"/>
          <w:i w:val="0"/>
          <w:smallCaps w:val="0"/>
          <w:strike w:val="0"/>
          <w:color w:val="000000"/>
          <w:u w:val="none"/>
        </w:rPr>
        <w:t xml:space="preserve"> </w:t>
      </w:r>
      <w:r>
        <w:rPr>
          <w:b w:val="0"/>
          <w:i w:val="0"/>
          <w:smallCaps w:val="0"/>
          <w:strike w:val="0"/>
          <w:color w:val="000000"/>
          <w:u w:val="single"/>
        </w:rPr>
        <w:t>of the observed variation in political violence in post-colonial Sub-Saharan Africa.</w:t>
      </w:r>
      <w:r>
        <w:rPr>
          <w:b w:val="0"/>
          <w:i w:val="0"/>
          <w:smallCaps w:val="0"/>
          <w:strike w:val="0"/>
          <w:color w:val="000000"/>
          <w:u w:val="none"/>
        </w:rPr>
        <w:t xml:space="preserve"> 5. Concluding remarks Emerging evidence suggests that food price shocks are associated with an increase in social unrest (Smith 2014, Bellemare 2015, Hendrix and Haggard 2015, Weinberg and Bakker 2015). Yet, </w:t>
      </w:r>
      <w:r>
        <w:rPr>
          <w:b w:val="0"/>
          <w:i w:val="0"/>
          <w:smallCaps w:val="0"/>
          <w:strike w:val="0"/>
          <w:color w:val="000000"/>
          <w:u w:val="single"/>
        </w:rPr>
        <w:t>the robust ‘non-finding’ presented here implies</w:t>
      </w:r>
      <w:r>
        <w:rPr>
          <w:b w:val="0"/>
          <w:i w:val="0"/>
          <w:smallCaps w:val="0"/>
          <w:strike w:val="0"/>
          <w:color w:val="000000"/>
          <w:u w:val="none"/>
        </w:rPr>
        <w:t xml:space="preserve"> </w:t>
      </w:r>
      <w:r>
        <w:rPr>
          <w:b w:val="0"/>
          <w:i w:val="0"/>
          <w:smallCaps w:val="0"/>
          <w:strike w:val="0"/>
          <w:color w:val="000000"/>
          <w:u w:val="single"/>
        </w:rPr>
        <w:t>that so-called ‘food riots’ play out</w:t>
      </w:r>
      <w:r>
        <w:rPr>
          <w:b w:val="0"/>
          <w:i w:val="0"/>
          <w:smallCaps w:val="0"/>
          <w:strike w:val="0"/>
          <w:color w:val="000000"/>
          <w:u w:val="none"/>
        </w:rPr>
        <w:t xml:space="preserve"> </w:t>
      </w:r>
      <w:r>
        <w:rPr>
          <w:b/>
          <w:i w:val="0"/>
          <w:smallCaps w:val="0"/>
          <w:strike w:val="0"/>
          <w:color w:val="000000"/>
          <w:u w:val="single"/>
        </w:rPr>
        <w:t>largely isolated</w:t>
      </w:r>
      <w:r>
        <w:rPr>
          <w:b w:val="0"/>
          <w:i w:val="0"/>
          <w:smallCaps w:val="0"/>
          <w:strike w:val="0"/>
          <w:color w:val="000000"/>
          <w:u w:val="none"/>
        </w:rPr>
        <w:t xml:space="preserve"> </w:t>
      </w:r>
      <w:r>
        <w:rPr>
          <w:b w:val="0"/>
          <w:i w:val="0"/>
          <w:smallCaps w:val="0"/>
          <w:strike w:val="0"/>
          <w:color w:val="000000"/>
          <w:u w:val="single"/>
        </w:rPr>
        <w:t>from</w:t>
      </w:r>
      <w:r>
        <w:rPr>
          <w:b w:val="0"/>
          <w:i w:val="0"/>
          <w:smallCaps w:val="0"/>
          <w:strike w:val="0"/>
          <w:color w:val="000000"/>
          <w:u w:val="none"/>
        </w:rPr>
        <w:t xml:space="preserve"> climate-sensitive </w:t>
      </w:r>
      <w:r>
        <w:rPr>
          <w:b w:val="0"/>
          <w:i w:val="0"/>
          <w:smallCaps w:val="0"/>
          <w:strike w:val="0"/>
          <w:color w:val="000000"/>
          <w:u w:val="single"/>
        </w:rPr>
        <w:t>production dynamics</w:t>
      </w:r>
      <w:r>
        <w:rPr>
          <w:b w:val="0"/>
          <w:i w:val="0"/>
          <w:smallCaps w:val="0"/>
          <w:strike w:val="0"/>
          <w:color w:val="000000"/>
          <w:u w:val="none"/>
        </w:rPr>
        <w:t xml:space="preserve"> in the affected countries. Likewise, </w:t>
      </w:r>
      <w:r>
        <w:rPr>
          <w:b w:val="0"/>
          <w:i w:val="0"/>
          <w:smallCaps w:val="0"/>
          <w:strike w:val="0"/>
          <w:color w:val="000000"/>
          <w:u w:val="single"/>
        </w:rPr>
        <w:t>claims that</w:t>
      </w:r>
      <w:r>
        <w:rPr>
          <w:b w:val="0"/>
          <w:i w:val="0"/>
          <w:smallCaps w:val="0"/>
          <w:strike w:val="0"/>
          <w:color w:val="000000"/>
          <w:u w:val="none"/>
        </w:rPr>
        <w:t xml:space="preserve"> adverse weather and </w:t>
      </w:r>
      <w:r>
        <w:rPr>
          <w:b w:val="0"/>
          <w:i w:val="0"/>
          <w:smallCaps w:val="0"/>
          <w:strike w:val="0"/>
          <w:color w:val="000000"/>
          <w:u w:val="single"/>
        </w:rPr>
        <w:t>harvest failure drive contemporary violence in Africa</w:t>
      </w:r>
      <w:r>
        <w:rPr>
          <w:b w:val="0"/>
          <w:i w:val="0"/>
          <w:smallCaps w:val="0"/>
          <w:strike w:val="0"/>
          <w:color w:val="000000"/>
          <w:u w:val="none"/>
        </w:rPr>
        <w:t xml:space="preserve"> (e.g., Hsiang et al 2013, IFPRI 2015) </w:t>
      </w:r>
      <w:r>
        <w:rPr>
          <w:b w:val="0"/>
          <w:i w:val="0"/>
          <w:smallCaps w:val="0"/>
          <w:strike w:val="0"/>
          <w:color w:val="000000"/>
          <w:u w:val="single"/>
        </w:rPr>
        <w:t>are</w:t>
      </w:r>
      <w:r>
        <w:rPr>
          <w:b w:val="0"/>
          <w:i w:val="0"/>
          <w:smallCaps w:val="0"/>
          <w:strike w:val="0"/>
          <w:color w:val="000000"/>
          <w:u w:val="none"/>
        </w:rPr>
        <w:t xml:space="preserve"> </w:t>
      </w:r>
      <w:r>
        <w:rPr>
          <w:b/>
          <w:i w:val="0"/>
          <w:smallCaps w:val="0"/>
          <w:strike w:val="0"/>
          <w:color w:val="000000"/>
          <w:u w:val="single"/>
        </w:rPr>
        <w:t>not supported</w:t>
      </w:r>
      <w:r>
        <w:rPr>
          <w:b w:val="0"/>
          <w:i w:val="0"/>
          <w:smallCaps w:val="0"/>
          <w:strike w:val="0"/>
          <w:color w:val="000000"/>
          <w:u w:val="none"/>
        </w:rPr>
        <w:t xml:space="preserve"> </w:t>
      </w:r>
      <w:r>
        <w:rPr>
          <w:b w:val="0"/>
          <w:i w:val="0"/>
          <w:smallCaps w:val="0"/>
          <w:strike w:val="0"/>
          <w:color w:val="000000"/>
          <w:u w:val="single"/>
        </w:rPr>
        <w:t>by our analysis.</w:t>
      </w:r>
      <w:r>
        <w:rPr>
          <w:b w:val="0"/>
          <w:i w:val="0"/>
          <w:smallCaps w:val="0"/>
          <w:strike w:val="0"/>
          <w:color w:val="000000"/>
          <w:u w:val="none"/>
        </w:rPr>
        <w:t xml:space="preserve"> Instead, social protest and </w:t>
      </w:r>
      <w:r>
        <w:rPr>
          <w:b w:val="0"/>
          <w:i w:val="0"/>
          <w:smallCaps w:val="0"/>
          <w:strike w:val="0"/>
          <w:color w:val="000000"/>
          <w:u w:val="single"/>
        </w:rPr>
        <w:t>rebellion during</w:t>
      </w:r>
      <w:r>
        <w:rPr>
          <w:b w:val="0"/>
          <w:i w:val="0"/>
          <w:smallCaps w:val="0"/>
          <w:strike w:val="0"/>
          <w:color w:val="000000"/>
          <w:u w:val="none"/>
        </w:rPr>
        <w:t xml:space="preserve"> times of </w:t>
      </w:r>
      <w:r>
        <w:rPr>
          <w:b w:val="0"/>
          <w:i w:val="0"/>
          <w:smallCaps w:val="0"/>
          <w:strike w:val="0"/>
          <w:color w:val="000000"/>
          <w:u w:val="single"/>
        </w:rPr>
        <w:t>food price spikes may be better understood as reactions to</w:t>
      </w:r>
      <w:r>
        <w:rPr>
          <w:b w:val="0"/>
          <w:i w:val="0"/>
          <w:smallCaps w:val="0"/>
          <w:strike w:val="0"/>
          <w:color w:val="000000"/>
          <w:u w:val="none"/>
        </w:rPr>
        <w:t xml:space="preserve"> poor and </w:t>
      </w:r>
      <w:r>
        <w:rPr>
          <w:b w:val="0"/>
          <w:i w:val="0"/>
          <w:smallCaps w:val="0"/>
          <w:strike w:val="0"/>
          <w:color w:val="000000"/>
          <w:u w:val="single"/>
        </w:rPr>
        <w:t>unjust</w:t>
      </w:r>
      <w:r>
        <w:rPr>
          <w:b w:val="0"/>
          <w:i w:val="0"/>
          <w:smallCaps w:val="0"/>
          <w:strike w:val="0"/>
          <w:color w:val="000000"/>
          <w:u w:val="none"/>
        </w:rPr>
        <w:t xml:space="preserve"> government </w:t>
      </w:r>
      <w:r>
        <w:rPr>
          <w:b w:val="0"/>
          <w:i w:val="0"/>
          <w:smallCaps w:val="0"/>
          <w:strike w:val="0"/>
          <w:color w:val="000000"/>
          <w:u w:val="single"/>
        </w:rPr>
        <w:t>policies, corruption, repression, and market failure</w:t>
      </w:r>
      <w:r>
        <w:rPr>
          <w:b w:val="0"/>
          <w:i w:val="0"/>
          <w:smallCaps w:val="0"/>
          <w:strike w:val="0"/>
          <w:color w:val="000000"/>
          <w:u w:val="none"/>
        </w:rPr>
        <w:t xml:space="preserve"> (e.g., Bush 2010, </w:t>
      </w:r>
      <w:r>
        <w:rPr>
          <w:b w:val="0"/>
          <w:i w:val="0"/>
          <w:smallCaps w:val="0"/>
          <w:strike w:val="0"/>
          <w:color w:val="000000"/>
          <w:u w:val="none"/>
        </w:rPr>
        <w:t>Buhaug</w:t>
      </w:r>
      <w:r>
        <w:rPr>
          <w:b w:val="0"/>
          <w:i w:val="0"/>
          <w:smallCaps w:val="0"/>
          <w:strike w:val="0"/>
          <w:color w:val="000000"/>
          <w:u w:val="none"/>
        </w:rPr>
        <w:t xml:space="preserve"> and Urdal 2013, Sneyd et al 2013, Chenoweth and </w:t>
      </w:r>
      <w:r>
        <w:rPr>
          <w:b w:val="0"/>
          <w:i w:val="0"/>
          <w:smallCaps w:val="0"/>
          <w:strike w:val="0"/>
          <w:color w:val="000000"/>
          <w:u w:val="none"/>
        </w:rPr>
        <w:t>Ulfelder</w:t>
      </w:r>
      <w:r>
        <w:rPr>
          <w:b w:val="0"/>
          <w:i w:val="0"/>
          <w:smallCaps w:val="0"/>
          <w:strike w:val="0"/>
          <w:color w:val="000000"/>
          <w:u w:val="none"/>
        </w:rPr>
        <w:t xml:space="preserve"> 2015).</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