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Farre-Mensa goes AFF---it proves that giving patents is good.</w:t>
      </w:r>
    </w:p>
    <w:p>
      <w:pPr>
        <w:spacing w:after="80"/>
      </w:pPr>
      <w:r>
        <w:rPr>
          <w:b w:val="0"/>
          <w:i w:val="0"/>
          <w:smallCaps w:val="0"/>
          <w:strike w:val="0"/>
          <w:u w:val="none"/>
        </w:rPr>
        <w:t xml:space="preserve">Joan </w:t>
      </w:r>
      <w:r>
        <w:rPr>
          <w:b/>
          <w:i w:val="0"/>
          <w:smallCaps w:val="0"/>
          <w:strike w:val="0"/>
          <w:sz w:val="26"/>
          <w:u w:val="none"/>
        </w:rPr>
        <w:t>Farre-Mensa</w:t>
      </w:r>
      <w:r>
        <w:rPr>
          <w:b/>
          <w:i w:val="0"/>
          <w:smallCaps w:val="0"/>
          <w:strike w:val="0"/>
          <w:sz w:val="26"/>
          <w:u w:val="none"/>
        </w:rPr>
        <w:t xml:space="preserve"> </w:t>
      </w:r>
      <w:r>
        <w:rPr>
          <w:b/>
          <w:i w:val="0"/>
          <w:smallCaps w:val="0"/>
          <w:strike w:val="0"/>
          <w:sz w:val="26"/>
          <w:u w:val="none"/>
        </w:rPr>
        <w:t>'16</w:t>
      </w:r>
      <w:r>
        <w:rPr>
          <w:b w:val="0"/>
          <w:i w:val="0"/>
          <w:smallCaps w:val="0"/>
          <w:strike w:val="0"/>
          <w:u w:val="none"/>
        </w:rPr>
        <w:t>, Joan Farre-Mensa is an Associate Professor and Interim Head of the Finance Department at the University of Illinois Chicago, "The Bright Side of Patents," National Bureau of Economics Research, February 2016, https://www.nber.org/system/files/working_papers/w21959/w21959.pdf, Accessed 7-6-2024 by NT-MP</w:t>
      </w:r>
    </w:p>
    <w:p>
      <w:pPr>
        <w:spacing w:after="60"/>
      </w:pPr>
      <w:r>
        <w:rPr>
          <w:b w:val="0"/>
          <w:i w:val="0"/>
          <w:smallCaps w:val="0"/>
          <w:strike w:val="0"/>
          <w:u w:val="none"/>
        </w:rPr>
        <w:t xml:space="preserve">We emphasize that </w:t>
      </w:r>
      <w:r>
        <w:rPr>
          <w:b/>
          <w:i w:val="0"/>
          <w:smallCaps w:val="0"/>
          <w:strike w:val="0"/>
          <w:sz w:val="22"/>
          <w:highlight w:val="cyan"/>
          <w:u w:val="single"/>
        </w:rPr>
        <w:t>our study</w:t>
      </w:r>
      <w:r>
        <w:rPr>
          <w:b w:val="0"/>
          <w:i w:val="0"/>
          <w:smallCaps w:val="0"/>
          <w:strike w:val="0"/>
          <w:highlight w:val="cyan"/>
          <w:u w:val="none"/>
        </w:rPr>
        <w:t xml:space="preserve"> </w:t>
      </w:r>
      <w:r>
        <w:rPr>
          <w:b w:val="0"/>
          <w:i w:val="0"/>
          <w:smallCaps w:val="0"/>
          <w:strike w:val="0"/>
          <w:sz w:val="22"/>
          <w:u w:val="single"/>
        </w:rPr>
        <w:t>does</w:t>
      </w:r>
      <w:r>
        <w:rPr>
          <w:b w:val="0"/>
          <w:i w:val="0"/>
          <w:smallCaps w:val="0"/>
          <w:strike w:val="0"/>
          <w:sz w:val="22"/>
          <w:u w:val="single"/>
        </w:rPr>
        <w:t xml:space="preserve"> </w:t>
      </w:r>
      <w:r>
        <w:rPr>
          <w:b w:val="0"/>
          <w:i w:val="0"/>
          <w:smallCaps w:val="0"/>
          <w:strike w:val="0"/>
          <w:sz w:val="22"/>
          <w:highlight w:val="cyan"/>
          <w:u w:val="single"/>
        </w:rPr>
        <w:t>not imply</w:t>
      </w:r>
      <w:r>
        <w:rPr>
          <w:b w:val="0"/>
          <w:i w:val="0"/>
          <w:smallCaps w:val="0"/>
          <w:strike w:val="0"/>
          <w:sz w:val="22"/>
          <w:u w:val="single"/>
        </w:rPr>
        <w:t xml:space="preserve"> that the </w:t>
      </w:r>
      <w:r>
        <w:rPr>
          <w:b w:val="0"/>
          <w:i w:val="0"/>
          <w:smallCaps w:val="0"/>
          <w:strike w:val="0"/>
          <w:sz w:val="22"/>
          <w:highlight w:val="cyan"/>
          <w:u w:val="single"/>
        </w:rPr>
        <w:t xml:space="preserve">U.S. patent system </w:t>
      </w:r>
      <w:r>
        <w:rPr>
          <w:b w:val="0"/>
          <w:i w:val="0"/>
          <w:smallCaps w:val="0"/>
          <w:strike w:val="0"/>
          <w:sz w:val="22"/>
          <w:u w:val="single"/>
        </w:rPr>
        <w:t>is optimal</w:t>
      </w:r>
      <w:r>
        <w:rPr>
          <w:b w:val="0"/>
          <w:i w:val="0"/>
          <w:smallCaps w:val="0"/>
          <w:strike w:val="0"/>
          <w:sz w:val="22"/>
          <w:u w:val="single"/>
        </w:rPr>
        <w:t xml:space="preserve">, or even net-welfare enhancing, and so </w:t>
      </w:r>
      <w:r>
        <w:rPr>
          <w:b w:val="0"/>
          <w:i w:val="0"/>
          <w:smallCaps w:val="0"/>
          <w:strike w:val="0"/>
          <w:sz w:val="22"/>
          <w:highlight w:val="cyan"/>
          <w:u w:val="single"/>
        </w:rPr>
        <w:t xml:space="preserve">should </w:t>
      </w:r>
      <w:r>
        <w:rPr>
          <w:b/>
          <w:i w:val="0"/>
          <w:smallCaps w:val="0"/>
          <w:strike w:val="0"/>
          <w:sz w:val="22"/>
          <w:highlight w:val="cyan"/>
          <w:u w:val="single"/>
        </w:rPr>
        <w:t>not be reformed</w:t>
      </w:r>
      <w:r>
        <w:rPr>
          <w:b w:val="0"/>
          <w:i w:val="0"/>
          <w:smallCaps w:val="0"/>
          <w:strike w:val="0"/>
          <w:u w:val="none"/>
        </w:rPr>
        <w:t xml:space="preserve">. Rather, our findings alter the balance of evidence available to those considering a major revamp of the system </w:t>
      </w:r>
      <w:r>
        <w:rPr>
          <w:b w:val="0"/>
          <w:i w:val="0"/>
          <w:smallCaps w:val="0"/>
          <w:strike w:val="0"/>
          <w:sz w:val="22"/>
          <w:u w:val="single"/>
        </w:rPr>
        <w:t xml:space="preserve">by </w:t>
      </w:r>
      <w:r>
        <w:rPr>
          <w:b w:val="0"/>
          <w:i w:val="0"/>
          <w:smallCaps w:val="0"/>
          <w:strike w:val="0"/>
          <w:sz w:val="22"/>
          <w:highlight w:val="cyan"/>
          <w:u w:val="single"/>
        </w:rPr>
        <w:t>highlighting</w:t>
      </w:r>
      <w:r>
        <w:rPr>
          <w:b w:val="0"/>
          <w:i w:val="0"/>
          <w:smallCaps w:val="0"/>
          <w:strike w:val="0"/>
          <w:sz w:val="22"/>
          <w:u w:val="single"/>
        </w:rPr>
        <w:t xml:space="preserve"> the </w:t>
      </w:r>
      <w:r>
        <w:rPr>
          <w:b/>
          <w:i w:val="0"/>
          <w:smallCaps w:val="0"/>
          <w:strike w:val="0"/>
          <w:sz w:val="22"/>
          <w:highlight w:val="cyan"/>
          <w:u w:val="single"/>
        </w:rPr>
        <w:t>real benefits of patents</w:t>
      </w:r>
      <w:r>
        <w:rPr>
          <w:b w:val="0"/>
          <w:i w:val="0"/>
          <w:smallCaps w:val="0"/>
          <w:strike w:val="0"/>
          <w:sz w:val="22"/>
          <w:u w:val="single"/>
        </w:rPr>
        <w:t>, particularly for startups</w:t>
      </w:r>
      <w:r>
        <w:rPr>
          <w:b w:val="0"/>
          <w:i w:val="0"/>
          <w:smallCaps w:val="0"/>
          <w:strike w:val="0"/>
          <w:u w:val="none"/>
        </w:rPr>
        <w:t xml:space="preserve">. In addition to informing the current debate on patent reform, our study provides micro-evidence on the mechanisms through which institutions that </w:t>
      </w:r>
      <w:r>
        <w:rPr>
          <w:b w:val="0"/>
          <w:i w:val="0"/>
          <w:smallCaps w:val="0"/>
          <w:strike w:val="0"/>
          <w:sz w:val="22"/>
          <w:highlight w:val="cyan"/>
          <w:u w:val="single"/>
        </w:rPr>
        <w:t xml:space="preserve">secure property rights alleviate </w:t>
      </w:r>
      <w:r>
        <w:rPr>
          <w:b/>
          <w:i w:val="0"/>
          <w:smallCaps w:val="0"/>
          <w:strike w:val="0"/>
          <w:sz w:val="22"/>
          <w:highlight w:val="cyan"/>
          <w:u w:val="single"/>
        </w:rPr>
        <w:t>information frictions</w:t>
      </w:r>
      <w:r>
        <w:rPr>
          <w:b w:val="0"/>
          <w:i w:val="0"/>
          <w:smallCaps w:val="0"/>
          <w:strike w:val="0"/>
          <w:sz w:val="22"/>
          <w:highlight w:val="cyan"/>
          <w:u w:val="single"/>
        </w:rPr>
        <w:t xml:space="preserve"> and stimulate </w:t>
      </w:r>
      <w:r>
        <w:rPr>
          <w:b/>
          <w:i w:val="0"/>
          <w:smallCaps w:val="0"/>
          <w:strike w:val="0"/>
          <w:sz w:val="22"/>
          <w:highlight w:val="cyan"/>
          <w:u w:val="single"/>
        </w:rPr>
        <w:t>innovation and entrepreneurship</w:t>
      </w:r>
      <w:r>
        <w:rPr>
          <w:b w:val="0"/>
          <w:i w:val="0"/>
          <w:smallCaps w:val="0"/>
          <w:strike w:val="0"/>
          <w:sz w:val="22"/>
          <w:u w:val="single"/>
        </w:rPr>
        <w:t xml:space="preserve">—activities that </w:t>
      </w:r>
      <w:r>
        <w:rPr>
          <w:b w:val="0"/>
          <w:i w:val="0"/>
          <w:smallCaps w:val="0"/>
          <w:strike w:val="0"/>
          <w:sz w:val="22"/>
          <w:highlight w:val="cyan"/>
          <w:u w:val="single"/>
        </w:rPr>
        <w:t>underpin</w:t>
      </w:r>
      <w:r>
        <w:rPr>
          <w:b w:val="0"/>
          <w:i w:val="0"/>
          <w:smallCaps w:val="0"/>
          <w:strike w:val="0"/>
          <w:sz w:val="22"/>
          <w:u w:val="single"/>
        </w:rPr>
        <w:t xml:space="preserve"> </w:t>
      </w:r>
      <w:r>
        <w:rPr>
          <w:b/>
          <w:i w:val="0"/>
          <w:smallCaps w:val="0"/>
          <w:strike w:val="0"/>
          <w:sz w:val="22"/>
          <w:u w:val="single"/>
        </w:rPr>
        <w:t>modern</w:t>
      </w:r>
      <w:r>
        <w:rPr>
          <w:b w:val="0"/>
          <w:i w:val="0"/>
          <w:smallCaps w:val="0"/>
          <w:strike w:val="0"/>
          <w:sz w:val="22"/>
          <w:u w:val="single"/>
        </w:rPr>
        <w:t xml:space="preserve"> macroeconomic </w:t>
      </w:r>
      <w:r>
        <w:rPr>
          <w:b/>
          <w:i w:val="0"/>
          <w:smallCaps w:val="0"/>
          <w:strike w:val="0"/>
          <w:sz w:val="22"/>
          <w:highlight w:val="cyan"/>
          <w:u w:val="single"/>
        </w:rPr>
        <w:t>growth</w:t>
      </w:r>
      <w:r>
        <w:rPr>
          <w:b w:val="0"/>
          <w:i w:val="0"/>
          <w:smallCaps w:val="0"/>
          <w:strike w:val="0"/>
          <w:sz w:val="22"/>
          <w:u w:val="single"/>
        </w:rPr>
        <w:t xml:space="preserve"> models </w:t>
      </w:r>
      <w:r>
        <w:rPr>
          <w:b w:val="0"/>
          <w:i w:val="0"/>
          <w:smallCaps w:val="0"/>
          <w:strike w:val="0"/>
          <w:u w:val="none"/>
        </w:rPr>
        <w:t xml:space="preserve">such as Aghion and Howitt (1992) and Acemoglu and </w:t>
      </w:r>
      <w:r>
        <w:rPr>
          <w:b w:val="0"/>
          <w:i w:val="0"/>
          <w:smallCaps w:val="0"/>
          <w:strike w:val="0"/>
          <w:u w:val="none"/>
        </w:rPr>
        <w:t>Akcigit</w:t>
      </w:r>
      <w:r>
        <w:rPr>
          <w:b w:val="0"/>
          <w:i w:val="0"/>
          <w:smallCaps w:val="0"/>
          <w:strike w:val="0"/>
          <w:u w:val="none"/>
        </w:rPr>
        <w:t xml:space="preserve"> (2012). </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