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Covid thumps semiconductors</w:t>
      </w:r>
    </w:p>
    <w:p>
      <w:pPr>
        <w:spacing w:after="80"/>
      </w:pPr>
      <w:r>
        <w:rPr>
          <w:b/>
          <w:i w:val="0"/>
          <w:smallCaps w:val="0"/>
          <w:strike w:val="0"/>
          <w:color w:val="000000"/>
          <w:sz w:val="26"/>
          <w:u w:val="none"/>
        </w:rPr>
        <w:t>Deloitte 20</w:t>
      </w:r>
      <w:r>
        <w:rPr>
          <w:b w:val="0"/>
          <w:i w:val="0"/>
          <w:smallCaps w:val="0"/>
          <w:strike w:val="0"/>
          <w:color w:val="000000"/>
          <w:u w:val="none"/>
        </w:rPr>
        <w:t>, Deloitte refers to one or more of Deloitte Touche Tohmatsu Limited (“DTTL”), its global network of member firms, and their related entities. DTTL (also referred to as “Deloitte Global”) and each of its member firms are legally separate and independent entities. “COVID-19: A Black Swan Event for the Semiconductor Industry,” https://www2.deloitte.com/content/dam/Deloitte/us/Documents/technology-media-telecommunications/us-tmt-covid-19-a-black-swan-event-for-the-semiconductor-industry.pdf</w:t>
      </w:r>
    </w:p>
    <w:p>
      <w:pPr>
        <w:spacing w:after="60"/>
      </w:pPr>
      <w:r>
        <w:rPr>
          <w:b w:val="0"/>
          <w:i w:val="0"/>
          <w:smallCaps w:val="0"/>
          <w:strike w:val="0"/>
          <w:color w:val="000000"/>
          <w:u w:val="single"/>
        </w:rPr>
        <w:t>COVID-19 is having a large impact on</w:t>
      </w:r>
      <w:r>
        <w:rPr>
          <w:b w:val="0"/>
          <w:i w:val="0"/>
          <w:smallCaps w:val="0"/>
          <w:strike w:val="0"/>
          <w:color w:val="000000"/>
          <w:u w:val="none"/>
        </w:rPr>
        <w:t xml:space="preserve"> both people and </w:t>
      </w:r>
      <w:r>
        <w:rPr>
          <w:b w:val="0"/>
          <w:i w:val="0"/>
          <w:smallCaps w:val="0"/>
          <w:strike w:val="0"/>
          <w:color w:val="000000"/>
          <w:u w:val="single"/>
        </w:rPr>
        <w:t>companies</w:t>
      </w:r>
      <w:r>
        <w:rPr>
          <w:b w:val="0"/>
          <w:i w:val="0"/>
          <w:smallCaps w:val="0"/>
          <w:strike w:val="0"/>
          <w:color w:val="000000"/>
          <w:u w:val="none"/>
        </w:rPr>
        <w:t xml:space="preserve">. As of mid-February, millions of people are under some degree of travel restriction across China.3 In addition, </w:t>
      </w:r>
      <w:r>
        <w:rPr>
          <w:b w:val="0"/>
          <w:i w:val="0"/>
          <w:smallCaps w:val="0"/>
          <w:strike w:val="0"/>
          <w:color w:val="000000"/>
          <w:u w:val="single"/>
        </w:rPr>
        <w:t>critical electronics manufacturing hubs were</w:t>
      </w:r>
      <w:r>
        <w:rPr>
          <w:b w:val="0"/>
          <w:i w:val="0"/>
          <w:smallCaps w:val="0"/>
          <w:strike w:val="0"/>
          <w:color w:val="000000"/>
          <w:u w:val="none"/>
        </w:rPr>
        <w:t xml:space="preserve"> </w:t>
      </w:r>
      <w:r>
        <w:rPr>
          <w:b w:val="0"/>
          <w:i w:val="0"/>
          <w:smallCaps w:val="0"/>
          <w:strike w:val="0"/>
          <w:color w:val="000000"/>
          <w:u w:val="single"/>
        </w:rPr>
        <w:t>temporarily</w:t>
      </w:r>
      <w:r>
        <w:rPr>
          <w:b w:val="0"/>
          <w:i w:val="0"/>
          <w:smallCaps w:val="0"/>
          <w:strike w:val="0"/>
          <w:color w:val="000000"/>
          <w:u w:val="none"/>
        </w:rPr>
        <w:t xml:space="preserve"> </w:t>
      </w:r>
      <w:r>
        <w:rPr>
          <w:b/>
          <w:i w:val="0"/>
          <w:smallCaps w:val="0"/>
          <w:strike w:val="0"/>
          <w:color w:val="000000"/>
          <w:u w:val="single"/>
        </w:rPr>
        <w:t>idled</w:t>
      </w:r>
      <w:r>
        <w:rPr>
          <w:b w:val="0"/>
          <w:i w:val="0"/>
          <w:smallCaps w:val="0"/>
          <w:strike w:val="0"/>
          <w:color w:val="000000"/>
          <w:u w:val="none"/>
        </w:rPr>
        <w:t xml:space="preserve"> </w:t>
      </w:r>
      <w:r>
        <w:rPr>
          <w:b w:val="0"/>
          <w:i w:val="0"/>
          <w:smallCaps w:val="0"/>
          <w:strike w:val="0"/>
          <w:color w:val="000000"/>
          <w:u w:val="single"/>
        </w:rPr>
        <w:t>to limit COVID</w:t>
      </w:r>
      <w:r>
        <w:rPr>
          <w:b w:val="0"/>
          <w:i w:val="0"/>
          <w:smallCaps w:val="0"/>
          <w:strike w:val="0"/>
          <w:color w:val="000000"/>
          <w:u w:val="single"/>
        </w:rPr>
        <w:t>-19’s spread</w:t>
      </w:r>
      <w:r>
        <w:rPr>
          <w:b w:val="0"/>
          <w:i w:val="0"/>
          <w:smallCaps w:val="0"/>
          <w:strike w:val="0"/>
          <w:color w:val="000000"/>
          <w:u w:val="none"/>
        </w:rPr>
        <w:t>.4 T</w:t>
      </w:r>
      <w:r>
        <w:rPr>
          <w:b w:val="0"/>
          <w:i w:val="0"/>
          <w:smallCaps w:val="0"/>
          <w:strike w:val="0"/>
          <w:color w:val="000000"/>
          <w:u w:val="single"/>
        </w:rPr>
        <w:t>his confluence of</w:t>
      </w:r>
      <w:r>
        <w:rPr>
          <w:b w:val="0"/>
          <w:i w:val="0"/>
          <w:smallCaps w:val="0"/>
          <w:strike w:val="0"/>
          <w:color w:val="000000"/>
          <w:u w:val="none"/>
        </w:rPr>
        <w:t xml:space="preserve"> </w:t>
      </w:r>
      <w:r>
        <w:rPr>
          <w:b w:val="0"/>
          <w:i w:val="0"/>
          <w:smallCaps w:val="0"/>
          <w:strike w:val="0"/>
          <w:color w:val="000000"/>
          <w:u w:val="single"/>
        </w:rPr>
        <w:t>events</w:t>
      </w:r>
      <w:r>
        <w:rPr>
          <w:b w:val="0"/>
          <w:i w:val="0"/>
          <w:smallCaps w:val="0"/>
          <w:strike w:val="0"/>
          <w:color w:val="000000"/>
          <w:u w:val="none"/>
        </w:rPr>
        <w:t xml:space="preserve"> </w:t>
      </w:r>
      <w:r>
        <w:rPr>
          <w:b w:val="0"/>
          <w:i w:val="0"/>
          <w:smallCaps w:val="0"/>
          <w:strike w:val="0"/>
          <w:color w:val="000000"/>
          <w:u w:val="single"/>
        </w:rPr>
        <w:t>is</w:t>
      </w:r>
      <w:r>
        <w:rPr>
          <w:b w:val="0"/>
          <w:i w:val="0"/>
          <w:smallCaps w:val="0"/>
          <w:strike w:val="0"/>
          <w:color w:val="000000"/>
          <w:u w:val="none"/>
        </w:rPr>
        <w:t xml:space="preserve"> </w:t>
      </w:r>
      <w:r>
        <w:rPr>
          <w:b/>
          <w:i w:val="0"/>
          <w:smallCaps w:val="0"/>
          <w:strike w:val="0"/>
          <w:color w:val="000000"/>
          <w:u w:val="single"/>
        </w:rPr>
        <w:t>hitting the global supply chain</w:t>
      </w:r>
      <w:r>
        <w:rPr>
          <w:b w:val="0"/>
          <w:i w:val="0"/>
          <w:smallCaps w:val="0"/>
          <w:strike w:val="0"/>
          <w:color w:val="000000"/>
          <w:u w:val="single"/>
        </w:rPr>
        <w:t>, impacting both suppliers—via</w:t>
      </w:r>
      <w:r>
        <w:rPr>
          <w:b w:val="0"/>
          <w:i w:val="0"/>
          <w:smallCaps w:val="0"/>
          <w:strike w:val="0"/>
          <w:color w:val="000000"/>
          <w:u w:val="none"/>
        </w:rPr>
        <w:t xml:space="preserve"> </w:t>
      </w:r>
      <w:r>
        <w:rPr>
          <w:b w:val="0"/>
          <w:i w:val="0"/>
          <w:smallCaps w:val="0"/>
          <w:strike w:val="0"/>
          <w:color w:val="000000"/>
          <w:u w:val="single"/>
        </w:rPr>
        <w:t>shortages of materials, components, and</w:t>
      </w:r>
      <w:r>
        <w:rPr>
          <w:b w:val="0"/>
          <w:i w:val="0"/>
          <w:smallCaps w:val="0"/>
          <w:strike w:val="0"/>
          <w:color w:val="000000"/>
          <w:u w:val="none"/>
        </w:rPr>
        <w:t xml:space="preserve"> </w:t>
      </w:r>
      <w:r>
        <w:rPr>
          <w:b w:val="0"/>
          <w:i w:val="0"/>
          <w:smallCaps w:val="0"/>
          <w:strike w:val="0"/>
          <w:color w:val="000000"/>
          <w:u w:val="single"/>
        </w:rPr>
        <w:t>finished</w:t>
      </w:r>
      <w:r>
        <w:rPr>
          <w:b w:val="0"/>
          <w:i w:val="0"/>
          <w:smallCaps w:val="0"/>
          <w:strike w:val="0"/>
          <w:color w:val="000000"/>
          <w:u w:val="none"/>
        </w:rPr>
        <w:t xml:space="preserve"> </w:t>
      </w:r>
      <w:r>
        <w:rPr>
          <w:b w:val="0"/>
          <w:i w:val="0"/>
          <w:smallCaps w:val="0"/>
          <w:strike w:val="0"/>
          <w:color w:val="000000"/>
          <w:u w:val="single"/>
        </w:rPr>
        <w:t>goods</w:t>
      </w:r>
      <w:r>
        <w:rPr>
          <w:b w:val="0"/>
          <w:i w:val="0"/>
          <w:smallCaps w:val="0"/>
          <w:strike w:val="0"/>
          <w:color w:val="000000"/>
          <w:u w:val="single"/>
        </w:rPr>
        <w:t>—and consumers</w:t>
      </w:r>
      <w:r>
        <w:rPr>
          <w:b w:val="0"/>
          <w:i w:val="0"/>
          <w:smallCaps w:val="0"/>
          <w:strike w:val="0"/>
          <w:color w:val="000000"/>
          <w:u w:val="none"/>
        </w:rPr>
        <w:t>—by creating reduced spending in China on semiconductor-dependent products (e.g., consumer electronics, automobiles).5</w:t>
      </w:r>
    </w:p>
    <w:p>
      <w:pPr>
        <w:spacing w:after="60"/>
      </w:pPr>
      <w:r>
        <w:rPr>
          <w:b w:val="0"/>
          <w:i w:val="0"/>
          <w:smallCaps w:val="0"/>
          <w:strike w:val="0"/>
          <w:color w:val="000000"/>
          <w:u w:val="none"/>
        </w:rPr>
        <w:t>While there are different perspectives on how damaging COVID-19 will become, the fact remains COVID-19 is spreading across the globe. New cases have been reported in locations including, but not limited to, the United States of America, Canada, Europe, Africa, the Middle East, India, South Korea, Australia, and Japan.</w:t>
      </w:r>
    </w:p>
    <w:p>
      <w:pPr>
        <w:spacing w:after="60"/>
      </w:pPr>
      <w:r>
        <w:rPr>
          <w:b w:val="0"/>
          <w:i w:val="0"/>
          <w:smallCaps w:val="0"/>
          <w:strike w:val="0"/>
          <w:color w:val="000000"/>
          <w:u w:val="single"/>
        </w:rPr>
        <w:t>Although the full impact of COVID-19 is still unknown,</w:t>
      </w:r>
      <w:r>
        <w:rPr>
          <w:b w:val="0"/>
          <w:i w:val="0"/>
          <w:smallCaps w:val="0"/>
          <w:strike w:val="0"/>
          <w:color w:val="000000"/>
          <w:u w:val="none"/>
        </w:rPr>
        <w:t xml:space="preserve"> </w:t>
      </w:r>
      <w:r>
        <w:rPr>
          <w:b w:val="0"/>
          <w:i w:val="0"/>
          <w:smallCaps w:val="0"/>
          <w:strike w:val="0"/>
          <w:color w:val="000000"/>
          <w:u w:val="single"/>
        </w:rPr>
        <w:t>the impact</w:t>
      </w:r>
      <w:r>
        <w:rPr>
          <w:b w:val="0"/>
          <w:i w:val="0"/>
          <w:smallCaps w:val="0"/>
          <w:strike w:val="0"/>
          <w:color w:val="000000"/>
          <w:u w:val="none"/>
        </w:rPr>
        <w:t xml:space="preserve"> </w:t>
      </w:r>
      <w:r>
        <w:rPr>
          <w:b/>
          <w:i w:val="0"/>
          <w:smallCaps w:val="0"/>
          <w:strike w:val="0"/>
          <w:color w:val="000000"/>
          <w:u w:val="single"/>
        </w:rPr>
        <w:t>across the electronics value chain</w:t>
      </w:r>
      <w:r>
        <w:rPr>
          <w:b w:val="0"/>
          <w:i w:val="0"/>
          <w:smallCaps w:val="0"/>
          <w:strike w:val="0"/>
          <w:color w:val="000000"/>
          <w:u w:val="single"/>
        </w:rPr>
        <w:t>,</w:t>
      </w:r>
      <w:r>
        <w:rPr>
          <w:b w:val="0"/>
          <w:i w:val="0"/>
          <w:smallCaps w:val="0"/>
          <w:strike w:val="0"/>
          <w:color w:val="000000"/>
          <w:u w:val="none"/>
        </w:rPr>
        <w:t xml:space="preserve"> </w:t>
      </w:r>
      <w:r>
        <w:rPr>
          <w:b w:val="0"/>
          <w:i w:val="0"/>
          <w:smallCaps w:val="0"/>
          <w:strike w:val="0"/>
          <w:color w:val="000000"/>
          <w:u w:val="single"/>
        </w:rPr>
        <w:t>from materials to final products,</w:t>
      </w:r>
      <w:r>
        <w:rPr>
          <w:b w:val="0"/>
          <w:i w:val="0"/>
          <w:smallCaps w:val="0"/>
          <w:strike w:val="0"/>
          <w:color w:val="000000"/>
          <w:u w:val="none"/>
        </w:rPr>
        <w:t xml:space="preserve"> </w:t>
      </w:r>
      <w:r>
        <w:rPr>
          <w:b w:val="0"/>
          <w:i w:val="0"/>
          <w:smallCaps w:val="0"/>
          <w:strike w:val="0"/>
          <w:color w:val="000000"/>
          <w:u w:val="single"/>
        </w:rPr>
        <w:t>will</w:t>
      </w:r>
      <w:r>
        <w:rPr>
          <w:b w:val="0"/>
          <w:i w:val="0"/>
          <w:smallCaps w:val="0"/>
          <w:strike w:val="0"/>
          <w:color w:val="000000"/>
          <w:u w:val="none"/>
        </w:rPr>
        <w:t xml:space="preserve"> </w:t>
      </w:r>
      <w:r>
        <w:rPr>
          <w:b w:val="0"/>
          <w:i w:val="0"/>
          <w:smallCaps w:val="0"/>
          <w:strike w:val="0"/>
          <w:color w:val="000000"/>
          <w:u w:val="single"/>
        </w:rPr>
        <w:t>likely</w:t>
      </w:r>
      <w:r>
        <w:rPr>
          <w:b w:val="0"/>
          <w:i w:val="0"/>
          <w:smallCaps w:val="0"/>
          <w:strike w:val="0"/>
          <w:color w:val="000000"/>
          <w:u w:val="none"/>
        </w:rPr>
        <w:t xml:space="preserve"> </w:t>
      </w:r>
      <w:r>
        <w:rPr>
          <w:b w:val="0"/>
          <w:i w:val="0"/>
          <w:smallCaps w:val="0"/>
          <w:strike w:val="0"/>
          <w:color w:val="000000"/>
          <w:u w:val="single"/>
        </w:rPr>
        <w:t>be</w:t>
      </w:r>
      <w:r>
        <w:rPr>
          <w:b w:val="0"/>
          <w:i w:val="0"/>
          <w:smallCaps w:val="0"/>
          <w:strike w:val="0"/>
          <w:color w:val="000000"/>
          <w:u w:val="none"/>
        </w:rPr>
        <w:t xml:space="preserve"> </w:t>
      </w:r>
      <w:r>
        <w:rPr>
          <w:b/>
          <w:i w:val="0"/>
          <w:smallCaps w:val="0"/>
          <w:strike w:val="0"/>
          <w:color w:val="000000"/>
          <w:u w:val="single"/>
        </w:rPr>
        <w:t>far reaching</w:t>
      </w:r>
      <w:r>
        <w:rPr>
          <w:b w:val="0"/>
          <w:i w:val="0"/>
          <w:smallCaps w:val="0"/>
          <w:strike w:val="0"/>
          <w:color w:val="000000"/>
          <w:u w:val="none"/>
        </w:rPr>
        <w:t>—</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hard hitting</w:t>
      </w:r>
      <w:r>
        <w:rPr>
          <w:b w:val="0"/>
          <w:i w:val="0"/>
          <w:smallCaps w:val="0"/>
          <w:strike w:val="0"/>
          <w:color w:val="000000"/>
          <w:u w:val="none"/>
        </w:rPr>
        <w:t xml:space="preserve"> </w:t>
      </w:r>
      <w:r>
        <w:rPr>
          <w:b w:val="0"/>
          <w:i w:val="0"/>
          <w:smallCaps w:val="0"/>
          <w:strike w:val="0"/>
          <w:color w:val="000000"/>
          <w:u w:val="single"/>
        </w:rPr>
        <w:t>on</w:t>
      </w:r>
      <w:r>
        <w:rPr>
          <w:b w:val="0"/>
          <w:i w:val="0"/>
          <w:smallCaps w:val="0"/>
          <w:strike w:val="0"/>
          <w:color w:val="000000"/>
          <w:u w:val="none"/>
        </w:rPr>
        <w:t xml:space="preserve"> </w:t>
      </w:r>
      <w:r>
        <w:rPr>
          <w:b w:val="0"/>
          <w:i w:val="0"/>
          <w:smallCaps w:val="0"/>
          <w:strike w:val="0"/>
          <w:color w:val="000000"/>
          <w:u w:val="single"/>
        </w:rPr>
        <w:t>those</w:t>
      </w:r>
      <w:r>
        <w:rPr>
          <w:b w:val="0"/>
          <w:i w:val="0"/>
          <w:smallCaps w:val="0"/>
          <w:strike w:val="0"/>
          <w:color w:val="000000"/>
          <w:u w:val="none"/>
        </w:rPr>
        <w:t xml:space="preserve"> </w:t>
      </w:r>
      <w:r>
        <w:rPr>
          <w:b w:val="0"/>
          <w:i w:val="0"/>
          <w:smallCaps w:val="0"/>
          <w:strike w:val="0"/>
          <w:color w:val="000000"/>
          <w:u w:val="single"/>
        </w:rPr>
        <w:t>parties involved with</w:t>
      </w:r>
      <w:r>
        <w:rPr>
          <w:b w:val="0"/>
          <w:i w:val="0"/>
          <w:smallCaps w:val="0"/>
          <w:strike w:val="0"/>
          <w:color w:val="000000"/>
          <w:u w:val="none"/>
        </w:rPr>
        <w:t xml:space="preserve"> </w:t>
      </w:r>
      <w:r>
        <w:rPr>
          <w:b/>
          <w:i w:val="0"/>
          <w:smallCaps w:val="0"/>
          <w:strike w:val="0"/>
          <w:color w:val="000000"/>
          <w:u w:val="single"/>
        </w:rPr>
        <w:t>semiconductor manufacturing</w:t>
      </w:r>
      <w:r>
        <w:rPr>
          <w:b w:val="0"/>
          <w:i w:val="0"/>
          <w:smallCaps w:val="0"/>
          <w:strike w:val="0"/>
          <w:color w:val="000000"/>
          <w:u w:val="none"/>
        </w:rPr>
        <w:t>. COVID-19 is highlighting the potential risks and vulnerability of today’s electronics and semiconductor value chain model and challenging the semiconductor industry to consider transforming its global supply chain model. COVID-19 might become the black swan event that forces the semiconductor industry to transform its global supply chain model.</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