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Stotser’s</w:t>
      </w:r>
      <w:r>
        <w:rPr>
          <w:b/>
          <w:i w:val="0"/>
          <w:smallCaps w:val="0"/>
          <w:strike w:val="0"/>
          <w:sz w:val="26"/>
          <w:u w:val="none"/>
        </w:rPr>
        <w:t xml:space="preserve"> just mad the </w:t>
      </w:r>
      <w:r>
        <w:rPr>
          <w:b/>
          <w:i w:val="0"/>
          <w:smallCaps w:val="0"/>
          <w:strike w:val="0"/>
          <w:sz w:val="26"/>
          <w:u w:val="single"/>
        </w:rPr>
        <w:t>oceans</w:t>
      </w:r>
      <w:r>
        <w:rPr>
          <w:b/>
          <w:i w:val="0"/>
          <w:smallCaps w:val="0"/>
          <w:strike w:val="0"/>
          <w:sz w:val="26"/>
          <w:u w:val="none"/>
        </w:rPr>
        <w:t xml:space="preserve"> aren’t in there.</w:t>
      </w:r>
    </w:p>
    <w:p>
      <w:pPr>
        <w:spacing w:after="80"/>
      </w:pPr>
      <w:r>
        <w:rPr>
          <w:b w:val="0"/>
          <w:i w:val="0"/>
          <w:smallCaps w:val="0"/>
          <w:strike w:val="0"/>
          <w:u w:val="none"/>
        </w:rPr>
        <w:t>Jacob</w:t>
      </w:r>
      <w:r>
        <w:rPr>
          <w:b/>
          <w:i w:val="0"/>
          <w:smallCaps w:val="0"/>
          <w:strike w:val="0"/>
          <w:sz w:val="26"/>
          <w:u w:val="none"/>
        </w:rPr>
        <w:t xml:space="preserve"> </w:t>
      </w:r>
      <w:r>
        <w:rPr>
          <w:b/>
          <w:i w:val="0"/>
          <w:smallCaps w:val="0"/>
          <w:strike w:val="0"/>
          <w:sz w:val="26"/>
          <w:u w:val="none"/>
        </w:rPr>
        <w:t>Stotser</w:t>
      </w:r>
      <w:r>
        <w:rPr>
          <w:b/>
          <w:i w:val="0"/>
          <w:smallCaps w:val="0"/>
          <w:strike w:val="0"/>
          <w:sz w:val="26"/>
          <w:u w:val="none"/>
        </w:rPr>
        <w:t xml:space="preserve"> ’24</w:t>
      </w:r>
      <w:r>
        <w:rPr>
          <w:b w:val="0"/>
          <w:i w:val="0"/>
          <w:smallCaps w:val="0"/>
          <w:strike w:val="0"/>
          <w:u w:val="none"/>
        </w:rPr>
        <w:t>,</w:t>
      </w:r>
      <w:r>
        <w:rPr>
          <w:b w:val="0"/>
          <w:i w:val="0"/>
          <w:smallCaps w:val="0"/>
          <w:strike w:val="0"/>
          <w:u w:val="none"/>
        </w:rPr>
        <w:t xml:space="preserve"> law degree from Duke University, Foley’s intellectual property practice area, specialized in high-tech, electronics, software, and emerging Internet patent portfolios</w:t>
      </w:r>
      <w:r>
        <w:rPr>
          <w:b w:val="0"/>
          <w:i w:val="0"/>
          <w:smallCaps w:val="0"/>
          <w:strike w:val="0"/>
          <w:u w:val="none"/>
        </w:rPr>
        <w:t>, 4/27/2024,</w:t>
      </w:r>
      <w:r>
        <w:rPr>
          <w:b w:val="0"/>
          <w:i w:val="0"/>
          <w:smallCaps w:val="0"/>
          <w:strike w:val="0"/>
          <w:u w:val="none"/>
        </w:rPr>
        <w:t xml:space="preserve"> “Beyond Patents: Incentive Strategies for Ocean Plastic Remediation Technologies” </w:t>
      </w:r>
      <w:r>
        <w:rPr>
          <w:b w:val="0"/>
          <w:i w:val="0"/>
          <w:smallCaps w:val="0"/>
          <w:strike w:val="0"/>
          <w:u w:val="none"/>
        </w:rPr>
        <w:t xml:space="preserve">, </w:t>
      </w:r>
      <w:r>
        <w:rPr>
          <w:b w:val="0"/>
          <w:i w:val="0"/>
          <w:smallCaps w:val="0"/>
          <w:strike w:val="0"/>
          <w:u w:val="none"/>
        </w:rPr>
        <w:t>oj</w:t>
      </w:r>
    </w:p>
    <w:p>
      <w:pPr>
        <w:spacing w:after="60"/>
      </w:pPr>
      <w:r>
        <w:rPr>
          <w:b w:val="0"/>
          <w:i w:val="0"/>
          <w:smallCaps w:val="0"/>
          <w:strike w:val="0"/>
          <w:sz w:val="16"/>
          <w:u w:val="none"/>
        </w:rPr>
        <w:t xml:space="preserve">Nearly a decade later, however, the Green Technology Pilot Program was replaced with the “Climate Change Mitigation Program” in 2022.104 The USPTO expanded the Climate Change Mitigation Program in 2023 to allow “qualifying applications involving technologies that reduce, remove, prevent, and/or monitor greenhouse gas emission [to] be advanced out of turn (made special),” </w:t>
      </w:r>
      <w:r>
        <w:rPr>
          <w:b w:val="0"/>
          <w:i w:val="0"/>
          <w:smallCaps w:val="0"/>
          <w:strike w:val="0"/>
          <w:sz w:val="16"/>
          <w:u w:val="none"/>
        </w:rPr>
        <w:t>similar to</w:t>
      </w:r>
      <w:r>
        <w:rPr>
          <w:b w:val="0"/>
          <w:i w:val="0"/>
          <w:smallCaps w:val="0"/>
          <w:strike w:val="0"/>
          <w:sz w:val="16"/>
          <w:u w:val="none"/>
        </w:rPr>
        <w:t xml:space="preserve"> its predecessor. 105 Notably, to qualify under the Climate Change Mitigation Program, “[a]</w:t>
      </w:r>
      <w:r>
        <w:rPr>
          <w:b w:val="0"/>
          <w:i w:val="0"/>
          <w:smallCaps w:val="0"/>
          <w:strike w:val="0"/>
          <w:sz w:val="16"/>
          <w:u w:val="none"/>
        </w:rPr>
        <w:t>pplications</w:t>
      </w:r>
      <w:r>
        <w:rPr>
          <w:b w:val="0"/>
          <w:i w:val="0"/>
          <w:smallCaps w:val="0"/>
          <w:strike w:val="0"/>
          <w:sz w:val="16"/>
          <w:u w:val="none"/>
        </w:rPr>
        <w:t xml:space="preserve"> must contain … claims to a product or process that mitigates climate change by being designed to: (a) remove greenhouse gases already present in the atmosphere; (b) reduce and/or prevent additional greenhouse gas emissions; and/or (c) monitor, track, and/or verify greenhouse gas emission reductions.” 106</w:t>
      </w:r>
    </w:p>
    <w:p>
      <w:pPr>
        <w:spacing w:after="60"/>
      </w:pPr>
      <w:r>
        <w:rPr>
          <w:b w:val="0"/>
          <w:i w:val="0"/>
          <w:smallCaps w:val="0"/>
          <w:strike w:val="0"/>
          <w:u w:val="single"/>
        </w:rPr>
        <w:t xml:space="preserve">It is not entirely clear whether </w:t>
      </w:r>
      <w:r>
        <w:rPr>
          <w:b/>
          <w:i w:val="0"/>
          <w:smallCaps w:val="0"/>
          <w:strike w:val="0"/>
          <w:sz w:val="22"/>
          <w:u w:val="single"/>
        </w:rPr>
        <w:t>ocean plastic remediation</w:t>
      </w:r>
      <w:r>
        <w:rPr>
          <w:b w:val="0"/>
          <w:i w:val="0"/>
          <w:smallCaps w:val="0"/>
          <w:strike w:val="0"/>
          <w:u w:val="single"/>
        </w:rPr>
        <w:t xml:space="preserve"> technologies would qualify for </w:t>
      </w:r>
      <w:r>
        <w:rPr>
          <w:b/>
          <w:i w:val="0"/>
          <w:smallCaps w:val="0"/>
          <w:strike w:val="0"/>
          <w:sz w:val="22"/>
          <w:u w:val="single"/>
        </w:rPr>
        <w:t>accelerated examination</w:t>
      </w:r>
      <w:r>
        <w:rPr>
          <w:b w:val="0"/>
          <w:i w:val="0"/>
          <w:smallCaps w:val="0"/>
          <w:strike w:val="0"/>
          <w:u w:val="single"/>
        </w:rPr>
        <w:t xml:space="preserve"> under the </w:t>
      </w:r>
      <w:r>
        <w:rPr>
          <w:b/>
          <w:i w:val="0"/>
          <w:smallCaps w:val="0"/>
          <w:strike w:val="0"/>
          <w:sz w:val="22"/>
          <w:u w:val="single"/>
        </w:rPr>
        <w:t>definitions</w:t>
      </w:r>
      <w:r>
        <w:rPr>
          <w:b w:val="0"/>
          <w:i w:val="0"/>
          <w:smallCaps w:val="0"/>
          <w:strike w:val="0"/>
          <w:u w:val="single"/>
        </w:rPr>
        <w:t xml:space="preserve"> provided.</w:t>
      </w:r>
      <w:r>
        <w:rPr>
          <w:b w:val="0"/>
          <w:i w:val="0"/>
          <w:smallCaps w:val="0"/>
          <w:strike w:val="0"/>
          <w:sz w:val="16"/>
          <w:u w:val="none"/>
        </w:rPr>
        <w:t xml:space="preserve"> Arguably, </w:t>
      </w:r>
      <w:r>
        <w:rPr>
          <w:b w:val="0"/>
          <w:i w:val="0"/>
          <w:smallCaps w:val="0"/>
          <w:strike w:val="0"/>
          <w:u w:val="single"/>
        </w:rPr>
        <w:t>the USPTO’s</w:t>
      </w:r>
      <w:r>
        <w:rPr>
          <w:b w:val="0"/>
          <w:i w:val="0"/>
          <w:smallCaps w:val="0"/>
          <w:strike w:val="0"/>
          <w:sz w:val="16"/>
          <w:u w:val="none"/>
        </w:rPr>
        <w:t xml:space="preserve"> repeated </w:t>
      </w:r>
      <w:r>
        <w:rPr>
          <w:b w:val="0"/>
          <w:i w:val="0"/>
          <w:smallCaps w:val="0"/>
          <w:strike w:val="0"/>
          <w:u w:val="single"/>
        </w:rPr>
        <w:t>emphasis on</w:t>
      </w:r>
      <w:r>
        <w:rPr>
          <w:b w:val="0"/>
          <w:i w:val="0"/>
          <w:smallCaps w:val="0"/>
          <w:strike w:val="0"/>
          <w:sz w:val="16"/>
          <w:u w:val="none"/>
        </w:rPr>
        <w:t xml:space="preserve"> “</w:t>
      </w:r>
      <w:r>
        <w:rPr>
          <w:b/>
          <w:i w:val="0"/>
          <w:smallCaps w:val="0"/>
          <w:strike w:val="0"/>
          <w:sz w:val="22"/>
          <w:u w:val="single"/>
        </w:rPr>
        <w:t>g</w:t>
      </w:r>
      <w:r>
        <w:rPr>
          <w:b w:val="0"/>
          <w:i w:val="0"/>
          <w:smallCaps w:val="0"/>
          <w:strike w:val="0"/>
          <w:u w:val="single"/>
        </w:rPr>
        <w:t>reen</w:t>
      </w:r>
      <w:r>
        <w:rPr>
          <w:b/>
          <w:i w:val="0"/>
          <w:smallCaps w:val="0"/>
          <w:strike w:val="0"/>
          <w:sz w:val="22"/>
          <w:u w:val="single"/>
        </w:rPr>
        <w:t>h</w:t>
      </w:r>
      <w:r>
        <w:rPr>
          <w:b w:val="0"/>
          <w:i w:val="0"/>
          <w:smallCaps w:val="0"/>
          <w:strike w:val="0"/>
          <w:u w:val="single"/>
        </w:rPr>
        <w:t xml:space="preserve">ouse </w:t>
      </w:r>
      <w:r>
        <w:rPr>
          <w:b/>
          <w:i w:val="0"/>
          <w:smallCaps w:val="0"/>
          <w:strike w:val="0"/>
          <w:sz w:val="22"/>
          <w:u w:val="single"/>
        </w:rPr>
        <w:t>g</w:t>
      </w:r>
      <w:r>
        <w:rPr>
          <w:b w:val="0"/>
          <w:i w:val="0"/>
          <w:smallCaps w:val="0"/>
          <w:strike w:val="0"/>
          <w:u w:val="single"/>
        </w:rPr>
        <w:t>as</w:t>
      </w:r>
      <w:r>
        <w:rPr>
          <w:b w:val="0"/>
          <w:i w:val="0"/>
          <w:smallCaps w:val="0"/>
          <w:strike w:val="0"/>
          <w:sz w:val="16"/>
          <w:u w:val="none"/>
        </w:rPr>
        <w:t xml:space="preserve">” </w:t>
      </w:r>
      <w:r>
        <w:rPr>
          <w:b w:val="0"/>
          <w:i w:val="0"/>
          <w:smallCaps w:val="0"/>
          <w:strike w:val="0"/>
          <w:u w:val="single"/>
        </w:rPr>
        <w:t xml:space="preserve">suggests a </w:t>
      </w:r>
      <w:r>
        <w:rPr>
          <w:b/>
          <w:i w:val="0"/>
          <w:smallCaps w:val="0"/>
          <w:strike w:val="0"/>
          <w:sz w:val="22"/>
          <w:u w:val="single"/>
        </w:rPr>
        <w:t>preference</w:t>
      </w:r>
      <w:r>
        <w:rPr>
          <w:b w:val="0"/>
          <w:i w:val="0"/>
          <w:smallCaps w:val="0"/>
          <w:strike w:val="0"/>
          <w:u w:val="single"/>
        </w:rPr>
        <w:t xml:space="preserve"> for technologies that </w:t>
      </w:r>
      <w:r>
        <w:rPr>
          <w:b/>
          <w:i w:val="0"/>
          <w:smallCaps w:val="0"/>
          <w:strike w:val="0"/>
          <w:sz w:val="22"/>
          <w:u w:val="single"/>
        </w:rPr>
        <w:t>directly interact</w:t>
      </w:r>
      <w:r>
        <w:rPr>
          <w:b w:val="0"/>
          <w:i w:val="0"/>
          <w:smallCaps w:val="0"/>
          <w:strike w:val="0"/>
          <w:u w:val="single"/>
        </w:rPr>
        <w:t xml:space="preserve"> with the </w:t>
      </w:r>
      <w:r>
        <w:rPr>
          <w:b/>
          <w:i w:val="0"/>
          <w:smallCaps w:val="0"/>
          <w:strike w:val="0"/>
          <w:sz w:val="22"/>
          <w:u w:val="single"/>
        </w:rPr>
        <w:t>carbon cycle</w:t>
      </w:r>
      <w:r>
        <w:rPr>
          <w:b w:val="0"/>
          <w:i w:val="0"/>
          <w:smallCaps w:val="0"/>
          <w:strike w:val="0"/>
          <w:u w:val="single"/>
        </w:rPr>
        <w:t xml:space="preserve"> or influence the processes of energy </w:t>
      </w:r>
      <w:r>
        <w:rPr>
          <w:b/>
          <w:i w:val="0"/>
          <w:smallCaps w:val="0"/>
          <w:strike w:val="0"/>
          <w:sz w:val="22"/>
          <w:u w:val="single"/>
        </w:rPr>
        <w:t>production and consumption</w:t>
      </w:r>
      <w:r>
        <w:rPr>
          <w:b w:val="0"/>
          <w:i w:val="0"/>
          <w:smallCaps w:val="0"/>
          <w:strike w:val="0"/>
          <w:sz w:val="16"/>
          <w:u w:val="none"/>
        </w:rPr>
        <w:t xml:space="preserve">.107 </w:t>
      </w:r>
      <w:r>
        <w:rPr>
          <w:b w:val="0"/>
          <w:i w:val="0"/>
          <w:smallCaps w:val="0"/>
          <w:strike w:val="0"/>
          <w:u w:val="single"/>
        </w:rPr>
        <w:t xml:space="preserve">Examples such as </w:t>
      </w:r>
      <w:r>
        <w:rPr>
          <w:b/>
          <w:i w:val="0"/>
          <w:smallCaps w:val="0"/>
          <w:strike w:val="0"/>
          <w:sz w:val="22"/>
          <w:u w:val="single"/>
        </w:rPr>
        <w:t>renewable energy</w:t>
      </w:r>
      <w:r>
        <w:rPr>
          <w:b w:val="0"/>
          <w:i w:val="0"/>
          <w:smallCaps w:val="0"/>
          <w:strike w:val="0"/>
          <w:sz w:val="16"/>
          <w:u w:val="none"/>
        </w:rPr>
        <w:t xml:space="preserve"> sources (e.g., solar, wind, hydroelectric power) and </w:t>
      </w:r>
      <w:r>
        <w:rPr>
          <w:b/>
          <w:i w:val="0"/>
          <w:smallCaps w:val="0"/>
          <w:strike w:val="0"/>
          <w:sz w:val="22"/>
          <w:u w:val="single"/>
        </w:rPr>
        <w:t>c</w:t>
      </w:r>
      <w:r>
        <w:rPr>
          <w:b w:val="0"/>
          <w:i w:val="0"/>
          <w:smallCaps w:val="0"/>
          <w:strike w:val="0"/>
          <w:u w:val="single"/>
        </w:rPr>
        <w:t xml:space="preserve">arbon </w:t>
      </w:r>
      <w:r>
        <w:rPr>
          <w:b/>
          <w:i w:val="0"/>
          <w:smallCaps w:val="0"/>
          <w:strike w:val="0"/>
          <w:sz w:val="22"/>
          <w:u w:val="single"/>
        </w:rPr>
        <w:t>c</w:t>
      </w:r>
      <w:r>
        <w:rPr>
          <w:b w:val="0"/>
          <w:i w:val="0"/>
          <w:smallCaps w:val="0"/>
          <w:strike w:val="0"/>
          <w:u w:val="single"/>
        </w:rPr>
        <w:t xml:space="preserve">apture and </w:t>
      </w:r>
      <w:r>
        <w:rPr>
          <w:b/>
          <w:i w:val="0"/>
          <w:smallCaps w:val="0"/>
          <w:strike w:val="0"/>
          <w:sz w:val="22"/>
          <w:u w:val="single"/>
        </w:rPr>
        <w:t>s</w:t>
      </w:r>
      <w:r>
        <w:rPr>
          <w:b w:val="0"/>
          <w:i w:val="0"/>
          <w:smallCaps w:val="0"/>
          <w:strike w:val="0"/>
          <w:u w:val="single"/>
        </w:rPr>
        <w:t>torage</w:t>
      </w:r>
      <w:r>
        <w:rPr>
          <w:b w:val="0"/>
          <w:i w:val="0"/>
          <w:smallCaps w:val="0"/>
          <w:strike w:val="0"/>
          <w:sz w:val="16"/>
          <w:u w:val="none"/>
        </w:rPr>
        <w:t xml:space="preserve"> (CCS) methods may </w:t>
      </w:r>
      <w:r>
        <w:rPr>
          <w:b/>
          <w:i w:val="0"/>
          <w:smallCaps w:val="0"/>
          <w:strike w:val="0"/>
          <w:sz w:val="22"/>
          <w:u w:val="single"/>
        </w:rPr>
        <w:t>align</w:t>
      </w:r>
      <w:r>
        <w:rPr>
          <w:b w:val="0"/>
          <w:i w:val="0"/>
          <w:smallCaps w:val="0"/>
          <w:strike w:val="0"/>
          <w:u w:val="single"/>
        </w:rPr>
        <w:t xml:space="preserve"> more closely</w:t>
      </w:r>
      <w:r>
        <w:rPr>
          <w:b w:val="0"/>
          <w:i w:val="0"/>
          <w:smallCaps w:val="0"/>
          <w:strike w:val="0"/>
          <w:sz w:val="16"/>
          <w:u w:val="none"/>
        </w:rPr>
        <w:t xml:space="preserve"> with technologies “designed to … reduce and/or prevent additional greenhouse gas emissions” </w:t>
      </w:r>
      <w:r>
        <w:rPr>
          <w:b w:val="0"/>
          <w:i w:val="0"/>
          <w:smallCaps w:val="0"/>
          <w:strike w:val="0"/>
          <w:u w:val="single"/>
        </w:rPr>
        <w:t>as compared to ocean plastic remediation innovations which</w:t>
      </w:r>
      <w:r>
        <w:rPr>
          <w:b w:val="0"/>
          <w:i w:val="0"/>
          <w:smallCaps w:val="0"/>
          <w:strike w:val="0"/>
          <w:sz w:val="16"/>
          <w:u w:val="none"/>
        </w:rPr>
        <w:t xml:space="preserve">, while critically important for marine health and capable of indirectly influencing lifecycle greenhouse gas emissions through the reduction of plastic degradation, for example,108 typically </w:t>
      </w:r>
      <w:r>
        <w:rPr>
          <w:b w:val="0"/>
          <w:i w:val="0"/>
          <w:smallCaps w:val="0"/>
          <w:strike w:val="0"/>
          <w:u w:val="single"/>
        </w:rPr>
        <w:t xml:space="preserve">do not </w:t>
      </w:r>
      <w:r>
        <w:rPr>
          <w:b/>
          <w:i w:val="0"/>
          <w:smallCaps w:val="0"/>
          <w:strike w:val="0"/>
          <w:sz w:val="22"/>
          <w:u w:val="single"/>
        </w:rPr>
        <w:t>directly address</w:t>
      </w:r>
      <w:r>
        <w:rPr>
          <w:b w:val="0"/>
          <w:i w:val="0"/>
          <w:smallCaps w:val="0"/>
          <w:strike w:val="0"/>
          <w:u w:val="single"/>
        </w:rPr>
        <w:t xml:space="preserve"> the sources of greenhouse gas emissions or their </w:t>
      </w:r>
      <w:r>
        <w:rPr>
          <w:b/>
          <w:i w:val="0"/>
          <w:smallCaps w:val="0"/>
          <w:strike w:val="0"/>
          <w:sz w:val="22"/>
          <w:u w:val="single"/>
        </w:rPr>
        <w:t>sequestration</w:t>
      </w:r>
      <w:r>
        <w:rPr>
          <w:b w:val="0"/>
          <w:i w:val="0"/>
          <w:smallCaps w:val="0"/>
          <w:strike w:val="0"/>
          <w:u w:val="single"/>
        </w:rPr>
        <w:t xml:space="preserve"> from the atmosphere</w:t>
      </w:r>
      <w:r>
        <w:rPr>
          <w:b w:val="0"/>
          <w:i w:val="0"/>
          <w:smallCaps w:val="0"/>
          <w:strike w:val="0"/>
          <w:sz w:val="16"/>
          <w:u w:val="none"/>
        </w:rPr>
        <w:t>.109 This distinction may place ocean plastic remediation outside the primary scope of the USPTO’s Climate Change Mitigation Program and limit its effectiveness in encouraging such innovations.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