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Venture funding is globally high now.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Fernandes</w:t>
      </w:r>
      <w:r>
        <w:rPr>
          <w:b/>
          <w:i w:val="0"/>
          <w:smallCaps w:val="0"/>
          <w:strike w:val="0"/>
          <w:sz w:val="26"/>
          <w:u w:val="none"/>
        </w:rPr>
        <w:t xml:space="preserve"> and Leonard 6/12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Bain and Company, “</w:t>
      </w:r>
      <w:r>
        <w:rPr>
          <w:b w:val="0"/>
          <w:i w:val="0"/>
          <w:smallCaps w:val="0"/>
          <w:strike w:val="0"/>
          <w:u w:val="none"/>
        </w:rPr>
        <w:t>Global Venture Capital Outlook: The Latest Trends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June 12, 2024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]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first quarter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2024, global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enture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apital funding grew by approximately 16% quarter over quarter, reaching $89 billion distributed over 4,600 deals (see Figure 1). The </w:t>
      </w:r>
      <w:r>
        <w:rPr>
          <w:b w:val="0"/>
          <w:i w:val="0"/>
          <w:smallCaps w:val="0"/>
          <w:strike w:val="0"/>
          <w:sz w:val="22"/>
          <w:u w:val="single"/>
        </w:rPr>
        <w:t>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experienced the most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substantial spike,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72% quarter-over-quarter increase in funding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aided by large investments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AI</w:t>
      </w:r>
      <w:r>
        <w:rPr>
          <w:b w:val="0"/>
          <w:i w:val="0"/>
          <w:smallCaps w:val="0"/>
          <w:strike w:val="0"/>
          <w:sz w:val="16"/>
          <w:u w:val="none"/>
        </w:rPr>
        <w:t>, energy, and healthcare. China saw a 13% increase in quarter-over-quarter funding, bolstered by investments in the automotive and AI sectors. In contrast, Europe reported a 28% decline in funding, primarily because of ongoing macroeconomic uncertainty and the UK’s technical recession.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Average deal sizes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grew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across all funding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stages, with early-stage deals recording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43% quarter-over-quarter growth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followed by seed- and late-stage deals with sequential growth of 17% and 21%, respectively (see Figure 2). In particular, Series B deals surged, propelled by sectors such 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erative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clean energy, and healthcare.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While the number of corporate venture capital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CVC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investors remained stable, there was a noticeable increase in CVC-funded deals in the first quarter of 2024 (see Figure 3).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Early- and seed-stage deals in energy, 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healthcare fueled the rise in activity. 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Generative AI continues to dominate the venture capital landscape.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While foundation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large language models saw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lion’s share of funding,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given their capital-intensive nature, other categories experienced more robust growth over the last quarter (see Figure 4).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increasing number of nontech CVCs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jumping on the trend, with LG Technology Ventures, CVS Health Ventures, and Capital One Ventures leading deal activity globally over the past year. There’s also been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notable rise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corporates partnering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start-ups to make generative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AI more accessible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their customers.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