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Venture Capital doesn’t impact innovation, only rate of patenting.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Kornum and Lerner 22</w:t>
      </w:r>
      <w:r>
        <w:rPr>
          <w:b w:val="0"/>
          <w:i w:val="0"/>
          <w:smallCaps w:val="0"/>
          <w:strike w:val="0"/>
          <w:sz w:val="16"/>
          <w:u w:val="none"/>
        </w:rPr>
        <w:t>(Samuel and Josh, Harvard Business Review. Does Venture Capital Spur Innovation? Revised 9/17/22. Accessed 7/11/2024)//jliu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policymakers often assume </w:t>
      </w:r>
      <w:r>
        <w:rPr>
          <w:b w:val="0"/>
          <w:i w:val="0"/>
          <w:smallCaps w:val="0"/>
          <w:strike w:val="0"/>
          <w:u w:val="single"/>
        </w:rPr>
        <w:t>venture capital has a profound impact on innovation, that premise has not been evaluated systematically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address this omission by </w:t>
      </w:r>
      <w:r>
        <w:rPr>
          <w:b w:val="0"/>
          <w:i w:val="0"/>
          <w:smallCaps w:val="0"/>
          <w:strike w:val="0"/>
          <w:u w:val="single"/>
        </w:rPr>
        <w:t xml:space="preserve">examining the influence of venture capital on patented inventions in the United States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across twenty industries over three decades. We address concerns about causality in several ways, including exploiting a 1979 policy shift that spurred venture capital fundraising. We find that the amount of venture capital activity in an industry significantly increases its rate of patenting. </w:t>
      </w:r>
      <w:r>
        <w:rPr>
          <w:b w:val="0"/>
          <w:i w:val="0"/>
          <w:smallCaps w:val="0"/>
          <w:strike w:val="0"/>
          <w:u w:val="single"/>
        </w:rPr>
        <w:t xml:space="preserve">While the ratio of venture capital to R&amp;D has averaged less than 3% in recent years, our estimates suggest that venture capital accounts for about 15% of industrial innovations. </w:t>
      </w:r>
      <w:r>
        <w:rPr>
          <w:b w:val="0"/>
          <w:i w:val="0"/>
          <w:smallCaps w:val="0"/>
          <w:strike w:val="0"/>
          <w:sz w:val="16"/>
          <w:u w:val="none"/>
        </w:rPr>
        <w:t>We address concerns that these results are an artifact of our use of patent counts by demonstrating similar patterns when other measures of innovation are used in a sample of 530 venture-backed and non-venture-backed firms.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