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 xml:space="preserve">Chinese innovation is declining </w:t>
      </w:r>
    </w:p>
    <w:p>
      <w:pPr>
        <w:spacing w:after="80"/>
      </w:pPr>
      <w:r>
        <w:rPr>
          <w:b w:val="0"/>
          <w:i w:val="0"/>
          <w:smallCaps w:val="0"/>
          <w:strike w:val="0"/>
          <w:color w:val="000000"/>
          <w:u w:val="none"/>
        </w:rPr>
        <w:t xml:space="preserve">James Andrew 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>Lewis,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20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>24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- Senior Vice President; Pritzker Chair; and Director, Strategic Technologies Program at the Center for Strategic and International Studies “America is Losing the Shoe Race With China” 4/1, 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sz w:val="22"/>
          <w:u w:val="single"/>
        </w:rPr>
        <w:t>China is good at manufacturing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what others have invented 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but no longer so good at innovation itself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 This is the result of political change. China was becoming a leading innovator when it was politically open, before 2012.  It still has advantages, but 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 xml:space="preserve">now that it is becoming politically closed, idea creation has slowed, entrepreneurs, investors and researchers are leaving, foreign investment is in decline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(because of a perception of increased political risk), </w:t>
      </w:r>
      <w:r>
        <w:rPr>
          <w:b w:val="0"/>
          <w:i w:val="0"/>
          <w:smallCaps w:val="0"/>
          <w:strike w:val="0"/>
          <w:color w:val="000000"/>
          <w:sz w:val="22"/>
          <w:u w:val="single"/>
        </w:rPr>
        <w:t>and geopolitics frays connections to global research and tech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 Under different political leadership, China would be a much more formidable competitor, but China made a political decision that values continued party control over innovation and its ability to innovate is at risk. 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sz w:val="16"/>
          <w:u w:val="none"/>
        </w:rPr>
        <w:t>Similarly, the EU spends significantly on R&amp;D and has excellent research facilities, but its regulations are a powerful disincentive to entrepreneurship and commercialization.  Europe’s major economies have shown flat income growth for more than a decade.  It is not positioning itself to compete in a digital economy, since this requires a willingness to accept risk and allow entrepreneurship. Europe values privacy over innovation.</w:t>
      </w:r>
    </w:p>
    <w:p>
      <w:pPr>
        <w:pStyle w:val="Caption"/>
      </w:pPr>
      <w:r>
        <w:t>Source: Bona Fide De Minimis Neg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