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New </w:t>
      </w:r>
      <w:r>
        <w:rPr>
          <w:b/>
          <w:i w:val="0"/>
          <w:smallCaps w:val="0"/>
          <w:strike w:val="0"/>
          <w:sz w:val="26"/>
          <w:u w:val="single"/>
        </w:rPr>
        <w:t>rules</w:t>
      </w:r>
      <w:r>
        <w:rPr>
          <w:b/>
          <w:i w:val="0"/>
          <w:smallCaps w:val="0"/>
          <w:strike w:val="0"/>
          <w:sz w:val="26"/>
          <w:u w:val="none"/>
        </w:rPr>
        <w:t xml:space="preserve"> and </w:t>
      </w:r>
      <w:r>
        <w:rPr>
          <w:b/>
          <w:i w:val="0"/>
          <w:smallCaps w:val="0"/>
          <w:strike w:val="0"/>
          <w:sz w:val="26"/>
          <w:u w:val="single"/>
        </w:rPr>
        <w:t>deadlines</w:t>
      </w:r>
      <w:r>
        <w:rPr>
          <w:b/>
          <w:i w:val="0"/>
          <w:smallCaps w:val="0"/>
          <w:strike w:val="0"/>
          <w:sz w:val="26"/>
          <w:u w:val="none"/>
        </w:rPr>
        <w:t xml:space="preserve"> resolve current </w:t>
      </w:r>
      <w:r>
        <w:rPr>
          <w:b/>
          <w:i w:val="0"/>
          <w:smallCaps w:val="0"/>
          <w:strike w:val="0"/>
          <w:sz w:val="26"/>
          <w:u w:val="single"/>
        </w:rPr>
        <w:t>backlog</w:t>
      </w:r>
    </w:p>
    <w:p>
      <w:pPr>
        <w:spacing w:after="80"/>
      </w:pPr>
      <w:r>
        <w:rPr>
          <w:b/>
          <w:i w:val="0"/>
          <w:smallCaps w:val="0"/>
          <w:strike w:val="0"/>
          <w:sz w:val="26"/>
          <w:u w:val="none"/>
        </w:rPr>
        <w:t>Green 22</w:t>
      </w:r>
      <w:r>
        <w:rPr>
          <w:b w:val="0"/>
          <w:i w:val="0"/>
          <w:smallCaps w:val="0"/>
          <w:strike w:val="0"/>
          <w:u w:val="none"/>
        </w:rPr>
        <w:t>, Caleb L. Green. Caleb Green is an Intellectual Property Strategist, and Technology, Sports &amp; Entertainment attorney in the Dickinson Wright Las Vegas office, 12/1/2022, “USPTO implements expedited office action response deadlines”, https://trademarklawyermagazine.com/uspto-implements-expedited-office-action-response-deadlines/</w:t>
      </w:r>
    </w:p>
    <w:p>
      <w:pPr>
        <w:spacing w:after="60"/>
      </w:pPr>
      <w:r>
        <w:rPr>
          <w:b w:val="0"/>
          <w:i w:val="0"/>
          <w:smallCaps w:val="0"/>
          <w:strike w:val="0"/>
          <w:sz w:val="22"/>
          <w:u w:val="single"/>
        </w:rPr>
        <w:t>A</w:t>
      </w:r>
      <w:r>
        <w:rPr>
          <w:b w:val="0"/>
          <w:i w:val="0"/>
          <w:smallCaps w:val="0"/>
          <w:strike w:val="0"/>
          <w:sz w:val="22"/>
          <w:u w:val="single"/>
        </w:rPr>
        <w:t>s</w:t>
      </w:r>
      <w:r>
        <w:rPr>
          <w:b w:val="0"/>
          <w:i w:val="0"/>
          <w:smallCaps w:val="0"/>
          <w:strike w:val="0"/>
          <w:sz w:val="22"/>
          <w:u w:val="single"/>
        </w:rPr>
        <w:t xml:space="preserve"> the end of 2022 approaches, </w:t>
      </w:r>
      <w:r>
        <w:rPr>
          <w:b w:val="0"/>
          <w:i w:val="0"/>
          <w:smallCaps w:val="0"/>
          <w:strike w:val="0"/>
          <w:sz w:val="22"/>
          <w:highlight w:val="cyan"/>
          <w:u w:val="single"/>
        </w:rPr>
        <w:t>important changes are coming to the</w:t>
      </w:r>
      <w:r>
        <w:rPr>
          <w:b w:val="0"/>
          <w:i w:val="0"/>
          <w:smallCaps w:val="0"/>
          <w:strike w:val="0"/>
          <w:sz w:val="22"/>
          <w:u w:val="single"/>
        </w:rPr>
        <w:t xml:space="preserve"> trademark </w:t>
      </w:r>
      <w:r>
        <w:rPr>
          <w:b w:val="0"/>
          <w:i w:val="0"/>
          <w:smallCaps w:val="0"/>
          <w:strike w:val="0"/>
          <w:sz w:val="22"/>
          <w:highlight w:val="cyan"/>
          <w:u w:val="single"/>
        </w:rPr>
        <w:t>prosecution process before the</w:t>
      </w:r>
      <w:r>
        <w:rPr>
          <w:b w:val="0"/>
          <w:i w:val="0"/>
          <w:smallCaps w:val="0"/>
          <w:strike w:val="0"/>
          <w:sz w:val="22"/>
          <w:u w:val="single"/>
        </w:rPr>
        <w:t xml:space="preserve"> United States Patent and Trademark Office (“</w:t>
      </w:r>
      <w:r>
        <w:rPr>
          <w:b/>
          <w:i w:val="0"/>
          <w:smallCaps w:val="0"/>
          <w:strike w:val="0"/>
          <w:sz w:val="22"/>
          <w:highlight w:val="cyan"/>
          <w:u w:val="single"/>
        </w:rPr>
        <w:t>USPTO</w:t>
      </w:r>
      <w:r>
        <w:rPr>
          <w:b w:val="0"/>
          <w:i w:val="0"/>
          <w:smallCaps w:val="0"/>
          <w:strike w:val="0"/>
          <w:sz w:val="22"/>
          <w:u w:val="single"/>
        </w:rPr>
        <w:t xml:space="preserve">”). Trademark practitioners and applicants must be aware of </w:t>
      </w:r>
      <w:r>
        <w:rPr>
          <w:b w:val="0"/>
          <w:i w:val="0"/>
          <w:smallCaps w:val="0"/>
          <w:strike w:val="0"/>
          <w:sz w:val="22"/>
          <w:highlight w:val="cyan"/>
          <w:u w:val="single"/>
        </w:rPr>
        <w:t xml:space="preserve">the </w:t>
      </w:r>
      <w:r>
        <w:rPr>
          <w:b/>
          <w:i w:val="0"/>
          <w:smallCaps w:val="0"/>
          <w:strike w:val="0"/>
          <w:sz w:val="22"/>
          <w:highlight w:val="cyan"/>
          <w:u w:val="single"/>
        </w:rPr>
        <w:t>new deadline</w:t>
      </w:r>
      <w:r>
        <w:rPr>
          <w:b w:val="0"/>
          <w:i w:val="0"/>
          <w:smallCaps w:val="0"/>
          <w:strike w:val="0"/>
          <w:sz w:val="22"/>
          <w:u w:val="single"/>
        </w:rPr>
        <w:t>, effective December 3, 2022</w:t>
      </w:r>
      <w:r>
        <w:rPr>
          <w:b w:val="0"/>
          <w:i w:val="0"/>
          <w:smallCaps w:val="0"/>
          <w:strike w:val="0"/>
          <w:sz w:val="16"/>
          <w:u w:val="none"/>
        </w:rPr>
        <w:t>, and how it may impact trademark applications and prosecution strategies.</w:t>
      </w:r>
    </w:p>
    <w:p>
      <w:pPr>
        <w:spacing w:after="60"/>
      </w:pPr>
      <w:r>
        <w:rPr>
          <w:b w:val="0"/>
          <w:i w:val="0"/>
          <w:smallCaps w:val="0"/>
          <w:strike w:val="0"/>
          <w:sz w:val="22"/>
          <w:u w:val="single"/>
        </w:rPr>
        <w:t>The</w:t>
      </w:r>
      <w:r>
        <w:rPr>
          <w:b w:val="0"/>
          <w:i w:val="0"/>
          <w:smallCaps w:val="0"/>
          <w:strike w:val="0"/>
          <w:sz w:val="22"/>
          <w:u w:val="single"/>
        </w:rPr>
        <w:t xml:space="preserve"> new deadline </w:t>
      </w:r>
      <w:r>
        <w:rPr>
          <w:b w:val="0"/>
          <w:i w:val="0"/>
          <w:smallCaps w:val="0"/>
          <w:strike w:val="0"/>
          <w:sz w:val="22"/>
          <w:highlight w:val="cyan"/>
          <w:u w:val="single"/>
        </w:rPr>
        <w:t>shortens the deadline to respond to</w:t>
      </w:r>
      <w:r>
        <w:rPr>
          <w:b w:val="0"/>
          <w:i w:val="0"/>
          <w:smallCaps w:val="0"/>
          <w:strike w:val="0"/>
          <w:sz w:val="22"/>
          <w:u w:val="single"/>
        </w:rPr>
        <w:t xml:space="preserve"> office </w:t>
      </w:r>
      <w:r>
        <w:rPr>
          <w:b w:val="0"/>
          <w:i w:val="0"/>
          <w:smallCaps w:val="0"/>
          <w:strike w:val="0"/>
          <w:sz w:val="22"/>
          <w:highlight w:val="cyan"/>
          <w:u w:val="single"/>
        </w:rPr>
        <w:t>actions</w:t>
      </w:r>
      <w:r>
        <w:rPr>
          <w:b w:val="0"/>
          <w:i w:val="0"/>
          <w:smallCaps w:val="0"/>
          <w:strike w:val="0"/>
          <w:sz w:val="22"/>
          <w:u w:val="single"/>
        </w:rPr>
        <w:t xml:space="preserve"> issued on or after December 3, 2022, </w:t>
      </w:r>
      <w:r>
        <w:rPr>
          <w:b w:val="0"/>
          <w:i w:val="0"/>
          <w:smallCaps w:val="0"/>
          <w:strike w:val="0"/>
          <w:sz w:val="22"/>
          <w:highlight w:val="cyan"/>
          <w:u w:val="single"/>
        </w:rPr>
        <w:t>from six months to three</w:t>
      </w:r>
      <w:r>
        <w:rPr>
          <w:b w:val="0"/>
          <w:i w:val="0"/>
          <w:smallCaps w:val="0"/>
          <w:strike w:val="0"/>
          <w:sz w:val="22"/>
          <w:u w:val="single"/>
        </w:rPr>
        <w:t xml:space="preserve"> months</w:t>
      </w:r>
      <w:r>
        <w:rPr>
          <w:b w:val="0"/>
          <w:i w:val="0"/>
          <w:smallCaps w:val="0"/>
          <w:strike w:val="0"/>
          <w:sz w:val="22"/>
          <w:u w:val="single"/>
        </w:rPr>
        <w:t xml:space="preserve">. However, </w:t>
      </w:r>
      <w:r>
        <w:rPr>
          <w:b w:val="0"/>
          <w:i w:val="0"/>
          <w:smallCaps w:val="0"/>
          <w:strike w:val="0"/>
          <w:sz w:val="22"/>
          <w:highlight w:val="cyan"/>
          <w:u w:val="single"/>
        </w:rPr>
        <w:t>USPTO will allow</w:t>
      </w:r>
      <w:r>
        <w:rPr>
          <w:b w:val="0"/>
          <w:i w:val="0"/>
          <w:smallCaps w:val="0"/>
          <w:strike w:val="0"/>
          <w:sz w:val="22"/>
          <w:u w:val="single"/>
        </w:rPr>
        <w:t xml:space="preserve"> trademark </w:t>
      </w:r>
      <w:r>
        <w:rPr>
          <w:b w:val="0"/>
          <w:i w:val="0"/>
          <w:smallCaps w:val="0"/>
          <w:strike w:val="0"/>
          <w:sz w:val="22"/>
          <w:highlight w:val="cyan"/>
          <w:u w:val="single"/>
        </w:rPr>
        <w:t>applicants to extend</w:t>
      </w:r>
      <w:r>
        <w:rPr>
          <w:b w:val="0"/>
          <w:i w:val="0"/>
          <w:smallCaps w:val="0"/>
          <w:strike w:val="0"/>
          <w:sz w:val="22"/>
          <w:u w:val="single"/>
        </w:rPr>
        <w:t xml:space="preserve"> </w:t>
      </w:r>
      <w:r>
        <w:rPr>
          <w:b w:val="0"/>
          <w:i w:val="0"/>
          <w:smallCaps w:val="0"/>
          <w:strike w:val="0"/>
          <w:sz w:val="22"/>
          <w:highlight w:val="cyan"/>
          <w:u w:val="single"/>
        </w:rPr>
        <w:t>the deadline</w:t>
      </w:r>
      <w:r>
        <w:rPr>
          <w:b w:val="0"/>
          <w:i w:val="0"/>
          <w:smallCaps w:val="0"/>
          <w:strike w:val="0"/>
          <w:sz w:val="22"/>
          <w:u w:val="single"/>
        </w:rPr>
        <w:t xml:space="preserve"> for an additional three months </w:t>
      </w:r>
      <w:r>
        <w:rPr>
          <w:b w:val="0"/>
          <w:i w:val="0"/>
          <w:smallCaps w:val="0"/>
          <w:strike w:val="0"/>
          <w:sz w:val="22"/>
          <w:highlight w:val="cyan"/>
          <w:u w:val="single"/>
        </w:rPr>
        <w:t>if the applicant files for an extension prior to</w:t>
      </w:r>
      <w:r>
        <w:rPr>
          <w:b w:val="0"/>
          <w:i w:val="0"/>
          <w:smallCaps w:val="0"/>
          <w:strike w:val="0"/>
          <w:sz w:val="22"/>
          <w:u w:val="single"/>
        </w:rPr>
        <w:t xml:space="preserve"> the </w:t>
      </w:r>
      <w:r>
        <w:rPr>
          <w:b w:val="0"/>
          <w:i w:val="0"/>
          <w:smallCaps w:val="0"/>
          <w:strike w:val="0"/>
          <w:sz w:val="22"/>
          <w:highlight w:val="cyan"/>
          <w:u w:val="single"/>
        </w:rPr>
        <w:t>expiration</w:t>
      </w:r>
      <w:r>
        <w:rPr>
          <w:b w:val="0"/>
          <w:i w:val="0"/>
          <w:smallCaps w:val="0"/>
          <w:strike w:val="0"/>
          <w:sz w:val="16"/>
          <w:u w:val="none"/>
        </w:rPr>
        <w:t xml:space="preserve"> of the three-month deadline </w:t>
      </w:r>
      <w:r>
        <w:rPr>
          <w:b w:val="0"/>
          <w:i w:val="0"/>
          <w:smallCaps w:val="0"/>
          <w:strike w:val="0"/>
          <w:sz w:val="22"/>
          <w:u w:val="single"/>
        </w:rPr>
        <w:t>and pays a $125 extension fee.</w:t>
      </w:r>
    </w:p>
    <w:p>
      <w:pPr>
        <w:spacing w:after="60"/>
      </w:pPr>
      <w:r>
        <w:rPr>
          <w:b w:val="0"/>
          <w:i w:val="0"/>
          <w:smallCaps w:val="0"/>
          <w:strike w:val="0"/>
          <w:sz w:val="22"/>
          <w:highlight w:val="cyan"/>
          <w:u w:val="single"/>
        </w:rPr>
        <w:t>This</w:t>
      </w:r>
      <w:r>
        <w:rPr>
          <w:b w:val="0"/>
          <w:i w:val="0"/>
          <w:smallCaps w:val="0"/>
          <w:strike w:val="0"/>
          <w:sz w:val="22"/>
          <w:u w:val="single"/>
        </w:rPr>
        <w:t xml:space="preserve"> truncated response </w:t>
      </w:r>
      <w:r>
        <w:rPr>
          <w:b w:val="0"/>
          <w:i w:val="0"/>
          <w:smallCaps w:val="0"/>
          <w:strike w:val="0"/>
          <w:sz w:val="22"/>
          <w:highlight w:val="cyan"/>
          <w:u w:val="single"/>
        </w:rPr>
        <w:t>window applies to</w:t>
      </w:r>
      <w:r>
        <w:rPr>
          <w:b w:val="0"/>
          <w:i w:val="0"/>
          <w:smallCaps w:val="0"/>
          <w:strike w:val="0"/>
          <w:sz w:val="22"/>
          <w:u w:val="single"/>
        </w:rPr>
        <w:t xml:space="preserve"> trademark </w:t>
      </w:r>
      <w:r>
        <w:rPr>
          <w:b w:val="0"/>
          <w:i w:val="0"/>
          <w:smallCaps w:val="0"/>
          <w:strike w:val="0"/>
          <w:sz w:val="22"/>
          <w:highlight w:val="cyan"/>
          <w:u w:val="single"/>
        </w:rPr>
        <w:t xml:space="preserve">applications filed under </w:t>
      </w:r>
      <w:r>
        <w:rPr>
          <w:b/>
          <w:i w:val="0"/>
          <w:smallCaps w:val="0"/>
          <w:strike w:val="0"/>
          <w:sz w:val="22"/>
          <w:highlight w:val="cyan"/>
          <w:u w:val="single"/>
        </w:rPr>
        <w:t>Trademark</w:t>
      </w:r>
      <w:r>
        <w:rPr>
          <w:b w:val="0"/>
          <w:i w:val="0"/>
          <w:smallCaps w:val="0"/>
          <w:strike w:val="0"/>
          <w:sz w:val="22"/>
          <w:highlight w:val="cyan"/>
          <w:u w:val="single"/>
        </w:rPr>
        <w:t xml:space="preserve"> </w:t>
      </w:r>
      <w:r>
        <w:rPr>
          <w:b/>
          <w:i w:val="0"/>
          <w:smallCaps w:val="0"/>
          <w:strike w:val="0"/>
          <w:sz w:val="22"/>
          <w:highlight w:val="cyan"/>
          <w:u w:val="single"/>
        </w:rPr>
        <w:t>Act</w:t>
      </w:r>
      <w:r>
        <w:rPr>
          <w:b w:val="0"/>
          <w:i w:val="0"/>
          <w:smallCaps w:val="0"/>
          <w:strike w:val="0"/>
          <w:sz w:val="22"/>
          <w:u w:val="single"/>
        </w:rPr>
        <w:t xml:space="preserve"> §§ 1(a) (use in commerce), 1(b) (intent-to-use), </w:t>
      </w:r>
      <w:r>
        <w:rPr>
          <w:b w:val="0"/>
          <w:i w:val="0"/>
          <w:smallCaps w:val="0"/>
          <w:strike w:val="0"/>
          <w:sz w:val="22"/>
          <w:highlight w:val="cyan"/>
          <w:u w:val="single"/>
        </w:rPr>
        <w:t>as well as</w:t>
      </w:r>
      <w:r>
        <w:rPr>
          <w:b w:val="0"/>
          <w:i w:val="0"/>
          <w:smallCaps w:val="0"/>
          <w:strike w:val="0"/>
          <w:sz w:val="22"/>
          <w:u w:val="single"/>
        </w:rPr>
        <w:t xml:space="preserve"> foreign-based </w:t>
      </w:r>
      <w:r>
        <w:rPr>
          <w:b w:val="0"/>
          <w:i w:val="0"/>
          <w:smallCaps w:val="0"/>
          <w:strike w:val="0"/>
          <w:sz w:val="22"/>
          <w:highlight w:val="cyan"/>
          <w:u w:val="single"/>
        </w:rPr>
        <w:t>applications under §§ 44(d) and</w:t>
      </w:r>
      <w:r>
        <w:rPr>
          <w:b w:val="0"/>
          <w:i w:val="0"/>
          <w:smallCaps w:val="0"/>
          <w:strike w:val="0"/>
          <w:sz w:val="22"/>
          <w:u w:val="single"/>
        </w:rPr>
        <w:t xml:space="preserve"> 44(</w:t>
      </w:r>
      <w:r>
        <w:rPr>
          <w:b w:val="0"/>
          <w:i w:val="0"/>
          <w:smallCaps w:val="0"/>
          <w:strike w:val="0"/>
          <w:sz w:val="22"/>
          <w:highlight w:val="cyan"/>
          <w:u w:val="single"/>
        </w:rPr>
        <w:t>e</w:t>
      </w:r>
      <w:r>
        <w:rPr>
          <w:b w:val="0"/>
          <w:i w:val="0"/>
          <w:smallCaps w:val="0"/>
          <w:strike w:val="0"/>
          <w:sz w:val="22"/>
          <w:u w:val="single"/>
        </w:rPr>
        <w:t xml:space="preserve">). Trademark applications filed </w:t>
      </w:r>
      <w:r>
        <w:rPr>
          <w:b w:val="0"/>
          <w:i w:val="0"/>
          <w:smallCaps w:val="0"/>
          <w:strike w:val="0"/>
          <w:sz w:val="22"/>
          <w:highlight w:val="cyan"/>
          <w:u w:val="single"/>
        </w:rPr>
        <w:t>under the Madrid Protocol</w:t>
      </w:r>
      <w:r>
        <w:rPr>
          <w:b w:val="0"/>
          <w:i w:val="0"/>
          <w:smallCaps w:val="0"/>
          <w:strike w:val="0"/>
          <w:sz w:val="22"/>
          <w:u w:val="single"/>
        </w:rPr>
        <w:t>, Trademark Act § 66(a</w:t>
      </w:r>
      <w:r>
        <w:rPr>
          <w:b w:val="0"/>
          <w:i w:val="0"/>
          <w:smallCaps w:val="0"/>
          <w:strike w:val="0"/>
          <w:sz w:val="16"/>
          <w:u w:val="none"/>
        </w:rPr>
        <w:t>), however, require additional processing time, and therefore the shortened response period will not apply.</w:t>
      </w:r>
    </w:p>
    <w:p>
      <w:pPr>
        <w:spacing w:after="60"/>
      </w:pPr>
      <w:r>
        <w:rPr>
          <w:b/>
          <w:i w:val="0"/>
          <w:smallCaps w:val="0"/>
          <w:strike w:val="0"/>
          <w:sz w:val="22"/>
          <w:highlight w:val="cyan"/>
          <w:u w:val="single"/>
        </w:rPr>
        <w:t>This</w:t>
      </w:r>
      <w:r>
        <w:rPr>
          <w:b/>
          <w:i w:val="0"/>
          <w:smallCaps w:val="0"/>
          <w:strike w:val="0"/>
          <w:sz w:val="22"/>
          <w:u w:val="single"/>
        </w:rPr>
        <w:t xml:space="preserve"> rule </w:t>
      </w:r>
      <w:r>
        <w:rPr>
          <w:b/>
          <w:i w:val="0"/>
          <w:smallCaps w:val="0"/>
          <w:strike w:val="0"/>
          <w:sz w:val="22"/>
          <w:highlight w:val="cyan"/>
          <w:u w:val="single"/>
        </w:rPr>
        <w:t>change will improve</w:t>
      </w:r>
      <w:r>
        <w:rPr>
          <w:b/>
          <w:i w:val="0"/>
          <w:smallCaps w:val="0"/>
          <w:strike w:val="0"/>
          <w:sz w:val="22"/>
          <w:u w:val="single"/>
        </w:rPr>
        <w:t xml:space="preserve"> the </w:t>
      </w:r>
      <w:r>
        <w:rPr>
          <w:b/>
          <w:i w:val="0"/>
          <w:smallCaps w:val="0"/>
          <w:strike w:val="0"/>
          <w:sz w:val="22"/>
          <w:highlight w:val="cyan"/>
          <w:u w:val="single"/>
        </w:rPr>
        <w:t>efficiency</w:t>
      </w:r>
      <w:r>
        <w:rPr>
          <w:b w:val="0"/>
          <w:i w:val="0"/>
          <w:smallCaps w:val="0"/>
          <w:strike w:val="0"/>
          <w:sz w:val="22"/>
          <w:highlight w:val="cyan"/>
          <w:u w:val="single"/>
        </w:rPr>
        <w:t xml:space="preserve"> of</w:t>
      </w:r>
      <w:r>
        <w:rPr>
          <w:b w:val="0"/>
          <w:i w:val="0"/>
          <w:smallCaps w:val="0"/>
          <w:strike w:val="0"/>
          <w:sz w:val="22"/>
          <w:u w:val="single"/>
        </w:rPr>
        <w:t xml:space="preserve"> the trademark </w:t>
      </w:r>
      <w:r>
        <w:rPr>
          <w:b w:val="0"/>
          <w:i w:val="0"/>
          <w:smallCaps w:val="0"/>
          <w:strike w:val="0"/>
          <w:sz w:val="22"/>
          <w:highlight w:val="cyan"/>
          <w:u w:val="single"/>
        </w:rPr>
        <w:t>prosecution</w:t>
      </w:r>
      <w:r>
        <w:rPr>
          <w:b w:val="0"/>
          <w:i w:val="0"/>
          <w:smallCaps w:val="0"/>
          <w:strike w:val="0"/>
          <w:sz w:val="22"/>
          <w:u w:val="single"/>
        </w:rPr>
        <w:t xml:space="preserve"> process. Hundreds of thousands of trademark applications remain unexamined in the USPTO’s growing backlog. Consequently, this has significantly extended the duration of the trademark examination process. Over the last few years, the average timeline for a U.S. trademark application to mature to registration has increased to 18 months</w:t>
      </w:r>
      <w:r>
        <w:rPr>
          <w:b w:val="0"/>
          <w:i w:val="0"/>
          <w:smallCaps w:val="0"/>
          <w:strike w:val="0"/>
          <w:sz w:val="16"/>
          <w:u w:val="none"/>
        </w:rPr>
        <w:t>. By shortening the response time, the USPTO seeks to comply with the Trademark Modernization Act of 2022, reduce the average time it takes for applicants to achieve a trademark registration, and provide more flexibility for applicants to request more time to respond to more complex office action refusals.</w:t>
      </w:r>
    </w:p>
    <w:p>
      <w:pPr>
        <w:spacing w:after="60"/>
      </w:pPr>
      <w:r>
        <w:rPr>
          <w:b w:val="0"/>
          <w:i w:val="0"/>
          <w:smallCaps w:val="0"/>
          <w:strike w:val="0"/>
          <w:sz w:val="22"/>
          <w:u w:val="single"/>
        </w:rPr>
        <w:t xml:space="preserve">However, on the other hand, </w:t>
      </w:r>
      <w:r>
        <w:rPr>
          <w:b w:val="0"/>
          <w:i w:val="0"/>
          <w:smallCaps w:val="0"/>
          <w:strike w:val="0"/>
          <w:sz w:val="22"/>
          <w:highlight w:val="cyan"/>
          <w:u w:val="single"/>
        </w:rPr>
        <w:t>this departure</w:t>
      </w:r>
      <w:r>
        <w:rPr>
          <w:b w:val="0"/>
          <w:i w:val="0"/>
          <w:smallCaps w:val="0"/>
          <w:strike w:val="0"/>
          <w:sz w:val="22"/>
          <w:u w:val="single"/>
        </w:rPr>
        <w:t xml:space="preserve"> from the typically 6-month response deadline </w:t>
      </w:r>
      <w:r>
        <w:rPr>
          <w:b w:val="0"/>
          <w:i w:val="0"/>
          <w:smallCaps w:val="0"/>
          <w:strike w:val="0"/>
          <w:sz w:val="22"/>
          <w:highlight w:val="cyan"/>
          <w:u w:val="single"/>
        </w:rPr>
        <w:t>gives applicants and practitioners half the</w:t>
      </w:r>
      <w:r>
        <w:rPr>
          <w:b w:val="0"/>
          <w:i w:val="0"/>
          <w:smallCaps w:val="0"/>
          <w:strike w:val="0"/>
          <w:sz w:val="22"/>
          <w:u w:val="single"/>
        </w:rPr>
        <w:t xml:space="preserve"> traditional </w:t>
      </w:r>
      <w:r>
        <w:rPr>
          <w:b w:val="0"/>
          <w:i w:val="0"/>
          <w:smallCaps w:val="0"/>
          <w:strike w:val="0"/>
          <w:sz w:val="22"/>
          <w:highlight w:val="cyan"/>
          <w:u w:val="single"/>
        </w:rPr>
        <w:t>time to respond to</w:t>
      </w:r>
      <w:r>
        <w:rPr>
          <w:b w:val="0"/>
          <w:i w:val="0"/>
          <w:smallCaps w:val="0"/>
          <w:strike w:val="0"/>
          <w:sz w:val="22"/>
          <w:u w:val="single"/>
        </w:rPr>
        <w:t xml:space="preserve"> office </w:t>
      </w:r>
      <w:r>
        <w:rPr>
          <w:b w:val="0"/>
          <w:i w:val="0"/>
          <w:smallCaps w:val="0"/>
          <w:strike w:val="0"/>
          <w:sz w:val="22"/>
          <w:highlight w:val="cyan"/>
          <w:u w:val="single"/>
        </w:rPr>
        <w:t>actions</w:t>
      </w:r>
      <w:r>
        <w:rPr>
          <w:b w:val="0"/>
          <w:i w:val="0"/>
          <w:smallCaps w:val="0"/>
          <w:strike w:val="0"/>
          <w:sz w:val="22"/>
          <w:u w:val="single"/>
        </w:rPr>
        <w:t xml:space="preserve">. As a result, </w:t>
      </w:r>
      <w:r>
        <w:rPr>
          <w:b w:val="0"/>
          <w:i w:val="0"/>
          <w:smallCaps w:val="0"/>
          <w:strike w:val="0"/>
          <w:sz w:val="22"/>
          <w:highlight w:val="cyan"/>
          <w:u w:val="single"/>
        </w:rPr>
        <w:t>trademark</w:t>
      </w:r>
      <w:r>
        <w:rPr>
          <w:b w:val="0"/>
          <w:i w:val="0"/>
          <w:smallCaps w:val="0"/>
          <w:strike w:val="0"/>
          <w:sz w:val="22"/>
          <w:u w:val="single"/>
        </w:rPr>
        <w:t xml:space="preserve"> </w:t>
      </w:r>
      <w:r>
        <w:rPr>
          <w:b w:val="0"/>
          <w:i w:val="0"/>
          <w:smallCaps w:val="0"/>
          <w:strike w:val="0"/>
          <w:sz w:val="22"/>
          <w:highlight w:val="cyan"/>
          <w:u w:val="single"/>
        </w:rPr>
        <w:t>applicants and attorneys must be vigilant</w:t>
      </w:r>
      <w:r>
        <w:rPr>
          <w:b w:val="0"/>
          <w:i w:val="0"/>
          <w:smallCaps w:val="0"/>
          <w:strike w:val="0"/>
          <w:sz w:val="22"/>
          <w:u w:val="single"/>
        </w:rPr>
        <w:t xml:space="preserve"> to adhere to the new response deadlines </w:t>
      </w:r>
      <w:r>
        <w:rPr>
          <w:b w:val="0"/>
          <w:i w:val="0"/>
          <w:smallCaps w:val="0"/>
          <w:strike w:val="0"/>
          <w:sz w:val="22"/>
          <w:highlight w:val="cyan"/>
          <w:u w:val="single"/>
        </w:rPr>
        <w:t>and adjust their</w:t>
      </w:r>
      <w:r>
        <w:rPr>
          <w:b w:val="0"/>
          <w:i w:val="0"/>
          <w:smallCaps w:val="0"/>
          <w:strike w:val="0"/>
          <w:sz w:val="22"/>
          <w:u w:val="single"/>
        </w:rPr>
        <w:t xml:space="preserve"> trademark </w:t>
      </w:r>
      <w:r>
        <w:rPr>
          <w:b w:val="0"/>
          <w:i w:val="0"/>
          <w:smallCaps w:val="0"/>
          <w:strike w:val="0"/>
          <w:sz w:val="22"/>
          <w:highlight w:val="cyan"/>
          <w:u w:val="single"/>
        </w:rPr>
        <w:t>prosecution strategies</w:t>
      </w:r>
      <w:r>
        <w:rPr>
          <w:b w:val="0"/>
          <w:i w:val="0"/>
          <w:smallCaps w:val="0"/>
          <w:strike w:val="0"/>
          <w:sz w:val="22"/>
          <w:u w:val="single"/>
        </w:rPr>
        <w:t xml:space="preserve"> accordingly</w:t>
      </w:r>
      <w:r>
        <w:rPr>
          <w:b w:val="0"/>
          <w:i w:val="0"/>
          <w:smallCaps w:val="0"/>
          <w:strike w:val="0"/>
          <w:sz w:val="16"/>
          <w:u w:val="none"/>
        </w:rPr>
        <w:t>. Failure to do so could result in unintentionally abandoning its trademark application and additional fees to extend response deadlines or revive abandoned applications.</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