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Empirical studies prove --- second-tier property rights with limited protections spur innovation, R&amp;D and growth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Suthersanan ‘18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Dr. Uma </w:t>
      </w:r>
      <w:r>
        <w:rPr>
          <w:b w:val="0"/>
          <w:i w:val="0"/>
          <w:smallCaps w:val="0"/>
          <w:strike w:val="0"/>
          <w:u w:val="none"/>
        </w:rPr>
        <w:t>Suthersanen</w:t>
      </w:r>
      <w:r>
        <w:rPr>
          <w:b w:val="0"/>
          <w:i w:val="0"/>
          <w:smallCaps w:val="0"/>
          <w:strike w:val="0"/>
          <w:u w:val="none"/>
        </w:rPr>
        <w:t xml:space="preserve">, Chair in International Intellectual Property Law, Centre for Commercial Law Studies, Queen Mary, University of London, United </w:t>
      </w:r>
      <w:r>
        <w:rPr>
          <w:b w:val="0"/>
          <w:i w:val="0"/>
          <w:smallCaps w:val="0"/>
          <w:strike w:val="0"/>
          <w:u w:val="none"/>
        </w:rPr>
        <w:t>Kingdom</w:t>
      </w: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u w:val="none"/>
        </w:rPr>
        <w:t>Utility</w:t>
      </w:r>
      <w:r>
        <w:rPr>
          <w:b w:val="0"/>
          <w:i w:val="0"/>
          <w:smallCaps w:val="0"/>
          <w:strike w:val="0"/>
          <w:u w:val="none"/>
        </w:rPr>
        <w:t xml:space="preserve"> models: Do they really serve national innovation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strategies?,”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https://papers.ssrn.com/sol3/papers.cfm?abstract_id=3139963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A well-cited study by Kumar found that in East Asian countries</w:t>
      </w:r>
      <w:r>
        <w:rPr>
          <w:b w:val="0"/>
          <w:i w:val="0"/>
          <w:smallCaps w:val="0"/>
          <w:strike w:val="0"/>
          <w:u w:val="none"/>
        </w:rPr>
        <w:t xml:space="preserve"> (namely, Japan, South Korea and Taiwan),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combination of relatively weak IPR protection and the availability of second-tier patents like utility models and design patents encouraged technological learning in their developmental years</w:t>
      </w:r>
      <w:r>
        <w:rPr>
          <w:b w:val="0"/>
          <w:i w:val="0"/>
          <w:smallCaps w:val="0"/>
          <w:strike w:val="0"/>
          <w:u w:val="none"/>
        </w:rPr>
        <w:t xml:space="preserve">.35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weak IPRs helped by allowing for local absorption of foreign innovations and R&amp;D spillovers.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Second-tier systems encouraged minor adaptations and inventions by local firms</w:t>
      </w:r>
      <w:r>
        <w:rPr>
          <w:b w:val="0"/>
          <w:i w:val="0"/>
          <w:smallCaps w:val="0"/>
          <w:strike w:val="0"/>
          <w:u w:val="none"/>
        </w:rPr>
        <w:t xml:space="preserve">. Consequently, such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economies became stronger, partly because local technological capacity was sufficiently advanced to generate a significant amount of innovation,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 also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as a result of international pressure</w:t>
      </w:r>
      <w:r>
        <w:rPr>
          <w:b w:val="0"/>
          <w:i w:val="0"/>
          <w:smallCaps w:val="0"/>
          <w:strike w:val="0"/>
          <w:u w:val="none"/>
        </w:rPr>
        <w:t>. The report situates India’s experience as being somewhat similar, except that in her case, no second-tier protection was provided. Whilst this apparently did not hurt the growth of Indian chemical or pharmaceutical industries, it may have hindered the development of innovative engineering industries.36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