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Applies to developed economies as well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Suthersanan ‘18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(</w:t>
      </w:r>
      <w:r>
        <w:rPr>
          <w:b w:val="0"/>
          <w:i w:val="0"/>
          <w:smallCaps w:val="0"/>
          <w:strike w:val="0"/>
          <w:u w:val="none"/>
        </w:rPr>
        <w:t xml:space="preserve">Dr. Uma </w:t>
      </w:r>
      <w:r>
        <w:rPr>
          <w:b w:val="0"/>
          <w:i w:val="0"/>
          <w:smallCaps w:val="0"/>
          <w:strike w:val="0"/>
          <w:u w:val="none"/>
        </w:rPr>
        <w:t>Suthersanen</w:t>
      </w:r>
      <w:r>
        <w:rPr>
          <w:b w:val="0"/>
          <w:i w:val="0"/>
          <w:smallCaps w:val="0"/>
          <w:strike w:val="0"/>
          <w:u w:val="none"/>
        </w:rPr>
        <w:t xml:space="preserve">, Chair in International Intellectual Property Law, Centre for Commercial Law Studies, Queen Mary, University of London, United </w:t>
      </w:r>
      <w:r>
        <w:rPr>
          <w:b w:val="0"/>
          <w:i w:val="0"/>
          <w:smallCaps w:val="0"/>
          <w:strike w:val="0"/>
          <w:u w:val="none"/>
        </w:rPr>
        <w:t>Kingdom</w:t>
      </w:r>
      <w:r>
        <w:rPr>
          <w:b w:val="0"/>
          <w:i w:val="0"/>
          <w:smallCaps w:val="0"/>
          <w:strike w:val="0"/>
          <w:u w:val="none"/>
        </w:rPr>
        <w:t>“</w:t>
      </w:r>
      <w:r>
        <w:rPr>
          <w:b w:val="0"/>
          <w:i w:val="0"/>
          <w:smallCaps w:val="0"/>
          <w:strike w:val="0"/>
          <w:u w:val="none"/>
        </w:rPr>
        <w:t>Utility</w:t>
      </w:r>
      <w:r>
        <w:rPr>
          <w:b w:val="0"/>
          <w:i w:val="0"/>
          <w:smallCaps w:val="0"/>
          <w:strike w:val="0"/>
          <w:u w:val="none"/>
        </w:rPr>
        <w:t xml:space="preserve"> models: Do they really serve national innovation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 xml:space="preserve">strategies?,” </w:t>
      </w:r>
      <w:r>
        <w:rPr>
          <w:b w:val="0"/>
          <w:i w:val="0"/>
          <w:smallCaps w:val="0"/>
          <w:strike w:val="0"/>
          <w:u w:val="none"/>
        </w:rPr>
        <w:t>pg</w:t>
      </w:r>
      <w:r>
        <w:rPr>
          <w:b w:val="0"/>
          <w:i w:val="0"/>
          <w:smallCaps w:val="0"/>
          <w:strike w:val="0"/>
          <w:u w:val="none"/>
        </w:rPr>
        <w:t xml:space="preserve"> online @ https://papers.ssrn.com/sol3/papers.cfm?abstract_id=3139963 //pa-</w:t>
      </w:r>
      <w:r>
        <w:rPr>
          <w:b w:val="0"/>
          <w:i w:val="0"/>
          <w:smallCaps w:val="0"/>
          <w:strike w:val="0"/>
          <w:u w:val="none"/>
        </w:rPr>
        <w:t>ef</w:t>
      </w:r>
      <w:r>
        <w:rPr>
          <w:b w:val="0"/>
          <w:i w:val="0"/>
          <w:smallCaps w:val="0"/>
          <w:strike w:val="0"/>
          <w:u w:val="none"/>
        </w:rPr>
        <w:t>)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highlight w:val="cyan"/>
          <w:u w:val="single"/>
        </w:rPr>
        <w:t>This study concludes that strong IPRs do not necessarily lead to development</w:t>
      </w:r>
      <w:r>
        <w:rPr>
          <w:b w:val="0"/>
          <w:i w:val="0"/>
          <w:smallCaps w:val="0"/>
          <w:strike w:val="0"/>
          <w:u w:val="none"/>
        </w:rPr>
        <w:t xml:space="preserve">, but that countries have to tailor their regime to pick the appropriate cocktail of IPRs that will suit the national innovative and economic environment.38 A more recent 2013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Australian economic review</w:t>
      </w:r>
      <w:r>
        <w:rPr>
          <w:b w:val="0"/>
          <w:i w:val="0"/>
          <w:smallCaps w:val="0"/>
          <w:strike w:val="0"/>
          <w:u w:val="none"/>
        </w:rPr>
        <w:t xml:space="preserve"> confirmed that the economic effect of utility models decreases with the rise of technological capacity in industries; the report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concluded</w:t>
      </w:r>
      <w:r>
        <w:rPr>
          <w:b w:val="0"/>
          <w:i w:val="0"/>
          <w:smallCaps w:val="0"/>
          <w:strike w:val="0"/>
          <w:u w:val="none"/>
        </w:rPr>
        <w:t xml:space="preserve"> however that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the continued use of utility models in Japan, Germany, France and Italy suggests that these patents may have a role in innovation and economic growth even in developed economies</w:t>
      </w:r>
      <w:r>
        <w:rPr>
          <w:b w:val="0"/>
          <w:i w:val="0"/>
          <w:smallCaps w:val="0"/>
          <w:strike w:val="0"/>
          <w:u w:val="none"/>
        </w:rPr>
        <w:t>.39</w:t>
      </w:r>
    </w:p>
    <w:p>
      <w:pPr>
        <w:pStyle w:val="Caption"/>
      </w:pPr>
      <w:r>
        <w:t>Source: Second Tier IPR CP - Michigan 7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