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cp is a second-tier patent --- not a patent </w:t>
      </w:r>
    </w:p>
    <w:p>
      <w:pPr>
        <w:spacing w:after="80"/>
      </w:pPr>
      <w:r>
        <w:rPr>
          <w:b/>
          <w:i w:val="0"/>
          <w:smallCaps w:val="0"/>
          <w:strike w:val="0"/>
          <w:sz w:val="26"/>
          <w:u w:val="none"/>
        </w:rPr>
        <w:t>Suthersanan ‘18</w:t>
      </w:r>
    </w:p>
    <w:p>
      <w:pPr>
        <w:spacing w:after="60"/>
      </w:pPr>
      <w:r>
        <w:rPr>
          <w:b w:val="0"/>
          <w:i w:val="0"/>
          <w:smallCaps w:val="0"/>
          <w:strike w:val="0"/>
          <w:u w:val="none"/>
        </w:rPr>
        <w:t>(</w:t>
      </w:r>
      <w:r>
        <w:rPr>
          <w:b w:val="0"/>
          <w:i w:val="0"/>
          <w:smallCaps w:val="0"/>
          <w:strike w:val="0"/>
          <w:u w:val="none"/>
        </w:rPr>
        <w:t xml:space="preserve">Dr. Uma </w:t>
      </w:r>
      <w:r>
        <w:rPr>
          <w:b w:val="0"/>
          <w:i w:val="0"/>
          <w:smallCaps w:val="0"/>
          <w:strike w:val="0"/>
          <w:u w:val="none"/>
        </w:rPr>
        <w:t>Suthersanen</w:t>
      </w:r>
      <w:r>
        <w:rPr>
          <w:b w:val="0"/>
          <w:i w:val="0"/>
          <w:smallCaps w:val="0"/>
          <w:strike w:val="0"/>
          <w:u w:val="none"/>
        </w:rPr>
        <w:t xml:space="preserve">, Chair in International Intellectual Property Law, Centre for Commercial Law Studies, Queen Mary, University of London, United </w:t>
      </w:r>
      <w:r>
        <w:rPr>
          <w:b w:val="0"/>
          <w:i w:val="0"/>
          <w:smallCaps w:val="0"/>
          <w:strike w:val="0"/>
          <w:u w:val="none"/>
        </w:rPr>
        <w:t>Kingdom</w:t>
      </w:r>
      <w:r>
        <w:rPr>
          <w:b w:val="0"/>
          <w:i w:val="0"/>
          <w:smallCaps w:val="0"/>
          <w:strike w:val="0"/>
          <w:u w:val="none"/>
        </w:rPr>
        <w:t>“</w:t>
      </w:r>
      <w:r>
        <w:rPr>
          <w:b w:val="0"/>
          <w:i w:val="0"/>
          <w:smallCaps w:val="0"/>
          <w:strike w:val="0"/>
          <w:u w:val="none"/>
        </w:rPr>
        <w:t>Utility</w:t>
      </w:r>
      <w:r>
        <w:rPr>
          <w:b w:val="0"/>
          <w:i w:val="0"/>
          <w:smallCaps w:val="0"/>
          <w:strike w:val="0"/>
          <w:u w:val="none"/>
        </w:rPr>
        <w:t xml:space="preserve"> models: Do they really serve national innovation</w:t>
      </w:r>
      <w:r>
        <w:rPr>
          <w:b w:val="0"/>
          <w:i w:val="0"/>
          <w:smallCaps w:val="0"/>
          <w:strike w:val="0"/>
          <w:u w:val="none"/>
        </w:rPr>
        <w:t xml:space="preserve"> </w:t>
      </w:r>
      <w:r>
        <w:rPr>
          <w:b w:val="0"/>
          <w:i w:val="0"/>
          <w:smallCaps w:val="0"/>
          <w:strike w:val="0"/>
          <w:u w:val="none"/>
        </w:rPr>
        <w:t xml:space="preserve">strategies?,” </w:t>
      </w:r>
      <w:r>
        <w:rPr>
          <w:b w:val="0"/>
          <w:i w:val="0"/>
          <w:smallCaps w:val="0"/>
          <w:strike w:val="0"/>
          <w:u w:val="none"/>
        </w:rPr>
        <w:t>pg</w:t>
      </w:r>
      <w:r>
        <w:rPr>
          <w:b w:val="0"/>
          <w:i w:val="0"/>
          <w:smallCaps w:val="0"/>
          <w:strike w:val="0"/>
          <w:u w:val="none"/>
        </w:rPr>
        <w:t xml:space="preserve"> online @ https://papers.ssrn.com/sol3/papers.cfm?abstract_id=3139963 //pa-</w:t>
      </w:r>
      <w:r>
        <w:rPr>
          <w:b w:val="0"/>
          <w:i w:val="0"/>
          <w:smallCaps w:val="0"/>
          <w:strike w:val="0"/>
          <w:u w:val="none"/>
        </w:rPr>
        <w:t>ef</w:t>
      </w:r>
      <w:r>
        <w:rPr>
          <w:b w:val="0"/>
          <w:i w:val="0"/>
          <w:smallCaps w:val="0"/>
          <w:strike w:val="0"/>
          <w:u w:val="none"/>
        </w:rPr>
        <w:t>)</w:t>
      </w:r>
    </w:p>
    <w:p>
      <w:pPr>
        <w:spacing w:after="60"/>
      </w:pPr>
      <w:r>
        <w:rPr>
          <w:b w:val="0"/>
          <w:i w:val="0"/>
          <w:smallCaps w:val="0"/>
          <w:strike w:val="0"/>
          <w:u w:val="none"/>
        </w:rPr>
        <w:t xml:space="preserve">A quick summation of the law should start by noting that </w:t>
      </w:r>
      <w:r>
        <w:rPr>
          <w:b/>
          <w:i w:val="0"/>
          <w:smallCaps w:val="0"/>
          <w:strike w:val="0"/>
          <w:sz w:val="22"/>
          <w:highlight w:val="cyan"/>
          <w:u w:val="single"/>
        </w:rPr>
        <w:t>the term ‘utility model’ has</w:t>
      </w:r>
      <w:r>
        <w:rPr>
          <w:b/>
          <w:i w:val="0"/>
          <w:smallCaps w:val="0"/>
          <w:strike w:val="0"/>
          <w:sz w:val="22"/>
          <w:highlight w:val="cyan"/>
          <w:u w:val="single"/>
        </w:rPr>
        <w:t xml:space="preserve"> </w:t>
      </w:r>
      <w:r>
        <w:rPr>
          <w:b/>
          <w:i w:val="0"/>
          <w:smallCaps w:val="0"/>
          <w:strike w:val="0"/>
          <w:sz w:val="22"/>
          <w:highlight w:val="cyan"/>
          <w:u w:val="single"/>
        </w:rPr>
        <w:t>morphed, over the years, into a generic term referring to a second-tier patent system</w:t>
      </w:r>
      <w:r>
        <w:rPr>
          <w:b w:val="0"/>
          <w:i w:val="0"/>
          <w:smallCaps w:val="0"/>
          <w:strike w:val="0"/>
          <w:u w:val="none"/>
        </w:rPr>
        <w:t xml:space="preserve"> </w:t>
      </w:r>
      <w:r>
        <w:rPr>
          <w:b/>
          <w:i w:val="0"/>
          <w:smallCaps w:val="0"/>
          <w:strike w:val="0"/>
          <w:sz w:val="22"/>
          <w:highlight w:val="cyan"/>
          <w:u w:val="single"/>
        </w:rPr>
        <w:t>which</w:t>
      </w:r>
      <w:r>
        <w:rPr>
          <w:b/>
          <w:i w:val="0"/>
          <w:smallCaps w:val="0"/>
          <w:strike w:val="0"/>
          <w:sz w:val="22"/>
          <w:highlight w:val="cyan"/>
          <w:u w:val="single"/>
        </w:rPr>
        <w:t xml:space="preserve"> </w:t>
      </w:r>
      <w:r>
        <w:rPr>
          <w:b/>
          <w:i w:val="0"/>
          <w:smallCaps w:val="0"/>
          <w:strike w:val="0"/>
          <w:sz w:val="22"/>
          <w:highlight w:val="cyan"/>
          <w:u w:val="single"/>
        </w:rPr>
        <w:t>offers cheaper protection to subject-matter that hinges between patent and sui generis design</w:t>
      </w:r>
      <w:r>
        <w:rPr>
          <w:b/>
          <w:i w:val="0"/>
          <w:smallCaps w:val="0"/>
          <w:strike w:val="0"/>
          <w:sz w:val="22"/>
          <w:highlight w:val="cyan"/>
          <w:u w:val="single"/>
        </w:rPr>
        <w:t xml:space="preserve"> </w:t>
      </w:r>
      <w:r>
        <w:rPr>
          <w:b/>
          <w:i w:val="0"/>
          <w:smallCaps w:val="0"/>
          <w:strike w:val="0"/>
          <w:sz w:val="22"/>
          <w:highlight w:val="cyan"/>
          <w:u w:val="single"/>
        </w:rPr>
        <w:t>laws.</w:t>
      </w:r>
      <w:r>
        <w:rPr>
          <w:b w:val="0"/>
          <w:i w:val="0"/>
          <w:smallCaps w:val="0"/>
          <w:strike w:val="0"/>
          <w:u w:val="none"/>
        </w:rPr>
        <w:t xml:space="preserve"> </w:t>
      </w:r>
      <w:r>
        <w:rPr>
          <w:b/>
          <w:i w:val="0"/>
          <w:smallCaps w:val="0"/>
          <w:strike w:val="0"/>
          <w:sz w:val="22"/>
          <w:u w:val="single"/>
        </w:rPr>
        <w:t>It is ostensibly a registered intellectual property right which confers exclusive</w:t>
      </w:r>
      <w:r>
        <w:rPr>
          <w:b/>
          <w:i w:val="0"/>
          <w:smallCaps w:val="0"/>
          <w:strike w:val="0"/>
          <w:sz w:val="22"/>
          <w:u w:val="single"/>
        </w:rPr>
        <w:t xml:space="preserve"> </w:t>
      </w:r>
      <w:r>
        <w:rPr>
          <w:b/>
          <w:i w:val="0"/>
          <w:smallCaps w:val="0"/>
          <w:strike w:val="0"/>
          <w:sz w:val="22"/>
          <w:u w:val="single"/>
        </w:rPr>
        <w:t>protection for a technical invention</w:t>
      </w:r>
      <w:r>
        <w:rPr>
          <w:b w:val="0"/>
          <w:i w:val="0"/>
          <w:smallCaps w:val="0"/>
          <w:strike w:val="0"/>
          <w:u w:val="none"/>
        </w:rPr>
        <w:t xml:space="preserve">. It resembles a patent in that the invention must be new and should display a measure of inventive achievement. </w:t>
      </w:r>
      <w:r>
        <w:rPr>
          <w:b/>
          <w:i w:val="0"/>
          <w:smallCaps w:val="0"/>
          <w:strike w:val="0"/>
          <w:sz w:val="22"/>
          <w:highlight w:val="cyan"/>
          <w:u w:val="single"/>
        </w:rPr>
        <w:t>Unlike patents</w:t>
      </w:r>
      <w:r>
        <w:rPr>
          <w:b w:val="0"/>
          <w:i w:val="0"/>
          <w:smallCaps w:val="0"/>
          <w:strike w:val="0"/>
          <w:u w:val="none"/>
        </w:rPr>
        <w:t xml:space="preserve"> however, </w:t>
      </w:r>
      <w:r>
        <w:rPr>
          <w:b/>
          <w:i w:val="0"/>
          <w:smallCaps w:val="0"/>
          <w:strike w:val="0"/>
          <w:sz w:val="22"/>
          <w:highlight w:val="cyan"/>
          <w:u w:val="single"/>
        </w:rPr>
        <w:t>utility</w:t>
      </w:r>
      <w:r>
        <w:rPr>
          <w:b/>
          <w:i w:val="0"/>
          <w:smallCaps w:val="0"/>
          <w:strike w:val="0"/>
          <w:sz w:val="22"/>
          <w:highlight w:val="cyan"/>
          <w:u w:val="single"/>
        </w:rPr>
        <w:t xml:space="preserve"> </w:t>
      </w:r>
      <w:r>
        <w:rPr>
          <w:b/>
          <w:i w:val="0"/>
          <w:smallCaps w:val="0"/>
          <w:strike w:val="0"/>
          <w:sz w:val="22"/>
          <w:highlight w:val="cyan"/>
          <w:u w:val="single"/>
        </w:rPr>
        <w:t>models are often granted without prior examination to establish novelty and/or inventive</w:t>
      </w:r>
      <w:r>
        <w:rPr>
          <w:b/>
          <w:i w:val="0"/>
          <w:smallCaps w:val="0"/>
          <w:strike w:val="0"/>
          <w:sz w:val="22"/>
          <w:highlight w:val="cyan"/>
          <w:u w:val="single"/>
        </w:rPr>
        <w:t xml:space="preserve"> </w:t>
      </w:r>
      <w:r>
        <w:rPr>
          <w:b/>
          <w:i w:val="0"/>
          <w:smallCaps w:val="0"/>
          <w:strike w:val="0"/>
          <w:sz w:val="22"/>
          <w:highlight w:val="cyan"/>
          <w:u w:val="single"/>
        </w:rPr>
        <w:t>step.</w:t>
      </w:r>
      <w:r>
        <w:rPr>
          <w:b w:val="0"/>
          <w:i w:val="0"/>
          <w:smallCaps w:val="0"/>
          <w:strike w:val="0"/>
          <w:u w:val="none"/>
        </w:rPr>
        <w:t xml:space="preserve"> Whilst </w:t>
      </w:r>
      <w:r>
        <w:rPr>
          <w:b/>
          <w:i w:val="0"/>
          <w:smallCaps w:val="0"/>
          <w:strike w:val="0"/>
          <w:sz w:val="22"/>
          <w:highlight w:val="cyan"/>
          <w:u w:val="single"/>
        </w:rPr>
        <w:t>protection</w:t>
      </w:r>
      <w:r>
        <w:rPr>
          <w:b w:val="0"/>
          <w:i w:val="0"/>
          <w:smallCaps w:val="0"/>
          <w:strike w:val="0"/>
          <w:u w:val="none"/>
        </w:rPr>
        <w:t xml:space="preserve"> can be obtained more rapidly and cheaply, it will also be commensurately </w:t>
      </w:r>
      <w:r>
        <w:rPr>
          <w:b/>
          <w:i w:val="0"/>
          <w:smallCaps w:val="0"/>
          <w:strike w:val="0"/>
          <w:sz w:val="22"/>
          <w:highlight w:val="cyan"/>
          <w:u w:val="single"/>
        </w:rPr>
        <w:t>less secure.</w:t>
      </w:r>
      <w:r>
        <w:rPr>
          <w:b/>
          <w:i w:val="0"/>
          <w:smallCaps w:val="0"/>
          <w:strike w:val="0"/>
          <w:sz w:val="22"/>
          <w:u w:val="single"/>
        </w:rPr>
        <w:t xml:space="preserve"> </w:t>
      </w:r>
      <w:r>
        <w:rPr>
          <w:b/>
          <w:i w:val="0"/>
          <w:smallCaps w:val="0"/>
          <w:strike w:val="0"/>
          <w:sz w:val="22"/>
          <w:highlight w:val="cyan"/>
          <w:u w:val="single"/>
        </w:rPr>
        <w:t>There is no universal nomenclature to this type of hybrid right</w:t>
      </w:r>
      <w:r>
        <w:rPr>
          <w:b w:val="0"/>
          <w:i w:val="0"/>
          <w:smallCaps w:val="0"/>
          <w:strike w:val="0"/>
          <w:u w:val="none"/>
        </w:rPr>
        <w:t xml:space="preserve">. Australian law, for example, has </w:t>
      </w:r>
      <w:r>
        <w:rPr>
          <w:b/>
          <w:i w:val="0"/>
          <w:smallCaps w:val="0"/>
          <w:strike w:val="0"/>
          <w:sz w:val="22"/>
          <w:u w:val="single"/>
        </w:rPr>
        <w:t>alternatively referred to them as ‘petty patents’, and then as ‘innovation</w:t>
      </w:r>
      <w:r>
        <w:rPr>
          <w:b/>
          <w:i w:val="0"/>
          <w:smallCaps w:val="0"/>
          <w:strike w:val="0"/>
          <w:sz w:val="22"/>
          <w:u w:val="single"/>
        </w:rPr>
        <w:t xml:space="preserve"> </w:t>
      </w:r>
      <w:r>
        <w:rPr>
          <w:b/>
          <w:i w:val="0"/>
          <w:smallCaps w:val="0"/>
          <w:strike w:val="0"/>
          <w:sz w:val="22"/>
          <w:u w:val="single"/>
        </w:rPr>
        <w:t>patents’</w:t>
      </w:r>
      <w:r>
        <w:rPr>
          <w:b w:val="0"/>
          <w:i w:val="0"/>
          <w:smallCaps w:val="0"/>
          <w:strike w:val="0"/>
          <w:u w:val="none"/>
        </w:rPr>
        <w:t xml:space="preserve">.4 They are called ‘utility innovations’ in Malaysia, ‘utility certificates’ in France, </w:t>
      </w:r>
      <w:r>
        <w:rPr>
          <w:b/>
          <w:i w:val="0"/>
          <w:smallCaps w:val="0"/>
          <w:strike w:val="0"/>
          <w:sz w:val="22"/>
          <w:u w:val="single"/>
        </w:rPr>
        <w:t>‘short-term patent’</w:t>
      </w:r>
      <w:r>
        <w:rPr>
          <w:b w:val="0"/>
          <w:i w:val="0"/>
          <w:smallCaps w:val="0"/>
          <w:strike w:val="0"/>
          <w:u w:val="none"/>
        </w:rPr>
        <w:t xml:space="preserve"> in Belgium, although </w:t>
      </w:r>
      <w:r>
        <w:rPr>
          <w:b/>
          <w:i w:val="0"/>
          <w:smallCaps w:val="0"/>
          <w:strike w:val="0"/>
          <w:sz w:val="22"/>
          <w:u w:val="single"/>
        </w:rPr>
        <w:t>the prevailing term remains ‘utility models’</w:t>
      </w:r>
      <w:r>
        <w:rPr>
          <w:b w:val="0"/>
          <w:i w:val="0"/>
          <w:smallCaps w:val="0"/>
          <w:strike w:val="0"/>
          <w:u w:val="none"/>
        </w:rPr>
        <w:t xml:space="preserve"> as used in Germany and China. International instruments refer to them synonymously as utility certificates, utility models, and utility certificates of addition.5 Some systems define utility models as incorporeal subject matter including technical concepts or inventions or devices; while others anchor their definitions to three-dimensional forms and exclude plants, methods, biological and pharmaceutical products. </w:t>
      </w:r>
      <w:r>
        <w:rPr>
          <w:b/>
          <w:i w:val="0"/>
          <w:smallCaps w:val="0"/>
          <w:strike w:val="0"/>
          <w:sz w:val="22"/>
          <w:highlight w:val="cyan"/>
          <w:u w:val="single"/>
        </w:rPr>
        <w:t>A few countries offer second tier protection</w:t>
      </w:r>
      <w:r>
        <w:rPr>
          <w:b w:val="0"/>
          <w:i w:val="0"/>
          <w:smallCaps w:val="0"/>
          <w:strike w:val="0"/>
          <w:u w:val="none"/>
        </w:rPr>
        <w:t xml:space="preserve"> which adopt normal patent thresholds but without prior examination and </w:t>
      </w:r>
      <w:r>
        <w:rPr>
          <w:b/>
          <w:i w:val="0"/>
          <w:smallCaps w:val="0"/>
          <w:strike w:val="0"/>
          <w:sz w:val="22"/>
          <w:highlight w:val="cyan"/>
          <w:u w:val="single"/>
        </w:rPr>
        <w:t>for a</w:t>
      </w:r>
      <w:r>
        <w:rPr>
          <w:b w:val="0"/>
          <w:i w:val="0"/>
          <w:smallCaps w:val="0"/>
          <w:strike w:val="0"/>
          <w:u w:val="none"/>
        </w:rPr>
        <w:t xml:space="preserve"> </w:t>
      </w:r>
      <w:r>
        <w:rPr>
          <w:b/>
          <w:i w:val="0"/>
          <w:smallCaps w:val="0"/>
          <w:strike w:val="0"/>
          <w:sz w:val="22"/>
          <w:highlight w:val="cyan"/>
          <w:u w:val="single"/>
        </w:rPr>
        <w:t>shorter durations</w:t>
      </w:r>
      <w:r>
        <w:rPr>
          <w:b w:val="0"/>
          <w:i w:val="0"/>
          <w:smallCaps w:val="0"/>
          <w:strike w:val="0"/>
          <w:u w:val="none"/>
        </w:rPr>
        <w:t>.</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