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They are two distinct and different regimes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Suthersanan ‘18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Dr. Uma </w:t>
      </w:r>
      <w:r>
        <w:rPr>
          <w:b w:val="0"/>
          <w:i w:val="0"/>
          <w:smallCaps w:val="0"/>
          <w:strike w:val="0"/>
          <w:u w:val="none"/>
        </w:rPr>
        <w:t>Suthersanen</w:t>
      </w:r>
      <w:r>
        <w:rPr>
          <w:b w:val="0"/>
          <w:i w:val="0"/>
          <w:smallCaps w:val="0"/>
          <w:strike w:val="0"/>
          <w:u w:val="none"/>
        </w:rPr>
        <w:t xml:space="preserve">, Chair in International Intellectual Property Law, Centre for Commercial Law Studies, Queen Mary, University of London, United </w:t>
      </w:r>
      <w:r>
        <w:rPr>
          <w:b w:val="0"/>
          <w:i w:val="0"/>
          <w:smallCaps w:val="0"/>
          <w:strike w:val="0"/>
          <w:u w:val="none"/>
        </w:rPr>
        <w:t>Kingdom</w:t>
      </w:r>
      <w:r>
        <w:rPr>
          <w:b w:val="0"/>
          <w:i w:val="0"/>
          <w:smallCaps w:val="0"/>
          <w:strike w:val="0"/>
          <w:u w:val="none"/>
        </w:rPr>
        <w:t>“</w:t>
      </w:r>
      <w:r>
        <w:rPr>
          <w:b w:val="0"/>
          <w:i w:val="0"/>
          <w:smallCaps w:val="0"/>
          <w:strike w:val="0"/>
          <w:u w:val="none"/>
        </w:rPr>
        <w:t>Utility</w:t>
      </w:r>
      <w:r>
        <w:rPr>
          <w:b w:val="0"/>
          <w:i w:val="0"/>
          <w:smallCaps w:val="0"/>
          <w:strike w:val="0"/>
          <w:u w:val="none"/>
        </w:rPr>
        <w:t xml:space="preserve"> models: Do they really serve national innovation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strategies?,”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https://papers.ssrn.com/sol3/papers.cfm?abstract_id=3139963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However, from the German perspective (and indeed, as we see below, from the East Asian examples),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it is unarguable that a sui generis regime is useful in resolving or avoiding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deficiencies of the current patent system</w:t>
      </w:r>
      <w:r>
        <w:rPr>
          <w:b w:val="0"/>
          <w:i w:val="0"/>
          <w:smallCaps w:val="0"/>
          <w:strike w:val="0"/>
          <w:u w:val="none"/>
        </w:rPr>
        <w:t xml:space="preserve">, in terms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cost and speed of securing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protection</w:t>
      </w:r>
      <w:r>
        <w:rPr>
          <w:b w:val="0"/>
          <w:i w:val="0"/>
          <w:smallCaps w:val="0"/>
          <w:strike w:val="0"/>
          <w:u w:val="none"/>
        </w:rPr>
        <w:t xml:space="preserve">, and in harnessing and diffusing indigenous technologies. One commentator lists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advantages of utility model registration in comparison to patents</w:t>
      </w:r>
      <w:r>
        <w:rPr>
          <w:b w:val="0"/>
          <w:i w:val="0"/>
          <w:smallCaps w:val="0"/>
          <w:strike w:val="0"/>
          <w:u w:val="none"/>
        </w:rPr>
        <w:t xml:space="preserve"> in Germany, as including: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lower costs, lower thresholds in relation to novelty and inventiveness, quicker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registration procedure, strategic means of obtaining full protection during the intermediate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period between publication and actual grant of a patent</w:t>
      </w:r>
      <w:r>
        <w:rPr>
          <w:b w:val="0"/>
          <w:i w:val="0"/>
          <w:smallCaps w:val="0"/>
          <w:strike w:val="0"/>
          <w:u w:val="none"/>
        </w:rPr>
        <w:t>.25 This type of reasoning can be easily extrapolated across other established, developed countries.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