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Liability can serve as a fall back to increase confidence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Jerome H. </w:t>
      </w:r>
      <w:r>
        <w:rPr>
          <w:b/>
          <w:i w:val="0"/>
          <w:smallCaps w:val="0"/>
          <w:strike w:val="0"/>
          <w:sz w:val="26"/>
          <w:u w:val="none"/>
        </w:rPr>
        <w:t>Reichman and</w:t>
      </w:r>
      <w:r>
        <w:rPr>
          <w:b w:val="0"/>
          <w:i w:val="0"/>
          <w:smallCaps w:val="0"/>
          <w:strike w:val="0"/>
          <w:u w:val="none"/>
        </w:rPr>
        <w:t xml:space="preserve"> Ana Santos </w:t>
      </w:r>
      <w:r>
        <w:rPr>
          <w:b/>
          <w:i w:val="0"/>
          <w:smallCaps w:val="0"/>
          <w:strike w:val="0"/>
          <w:sz w:val="26"/>
          <w:u w:val="none"/>
        </w:rPr>
        <w:t>Rutschman ’24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Bunyan S. Womble Professor of Law at Duke Law School</w:t>
      </w:r>
      <w:r>
        <w:rPr>
          <w:b w:val="0"/>
          <w:i w:val="0"/>
          <w:smallCaps w:val="0"/>
          <w:strike w:val="0"/>
          <w:u w:val="none"/>
        </w:rPr>
        <w:t xml:space="preserve"> focusing largely on IP law including comparative and international IP law and former s</w:t>
      </w:r>
      <w:r>
        <w:rPr>
          <w:b w:val="0"/>
          <w:i w:val="0"/>
          <w:smallCaps w:val="0"/>
          <w:strike w:val="0"/>
          <w:u w:val="none"/>
        </w:rPr>
        <w:t>pecial advisor to the United States National Academies and the International Council for Science (ICSU) on the subject of legal protection for databases</w:t>
      </w:r>
      <w:r>
        <w:rPr>
          <w:b w:val="0"/>
          <w:i w:val="0"/>
          <w:smallCaps w:val="0"/>
          <w:strike w:val="0"/>
          <w:u w:val="none"/>
        </w:rPr>
        <w:t xml:space="preserve">, teaches and researches IP law including being </w:t>
      </w:r>
      <w:r>
        <w:rPr>
          <w:b w:val="0"/>
          <w:i w:val="0"/>
          <w:smallCaps w:val="0"/>
          <w:strike w:val="0"/>
          <w:u w:val="none"/>
        </w:rPr>
        <w:t>a</w:t>
      </w:r>
      <w:r>
        <w:rPr>
          <w:b w:val="0"/>
          <w:i w:val="0"/>
          <w:smallCaps w:val="0"/>
          <w:strike w:val="0"/>
          <w:u w:val="none"/>
        </w:rPr>
        <w:t xml:space="preserve"> internationally recognized expert on vaccine law and </w:t>
      </w:r>
      <w:r>
        <w:rPr>
          <w:b w:val="0"/>
          <w:i w:val="0"/>
          <w:smallCaps w:val="0"/>
          <w:strike w:val="0"/>
          <w:u w:val="none"/>
        </w:rPr>
        <w:t>Bio Intellectual Property Scholar in 2017</w:t>
      </w:r>
      <w:r>
        <w:rPr>
          <w:b w:val="0"/>
          <w:i w:val="0"/>
          <w:smallCaps w:val="0"/>
          <w:strike w:val="0"/>
          <w:u w:val="none"/>
        </w:rPr>
        <w:t>, “</w:t>
      </w:r>
      <w:r>
        <w:rPr>
          <w:b w:val="0"/>
          <w:i w:val="0"/>
          <w:smallCaps w:val="0"/>
          <w:strike w:val="0"/>
          <w:u w:val="none"/>
        </w:rPr>
        <w:t xml:space="preserve">A Codified Liability Regime to Stimulate Greater Investment in </w:t>
      </w:r>
      <w:r>
        <w:rPr>
          <w:b w:val="0"/>
          <w:i w:val="0"/>
          <w:smallCaps w:val="0"/>
          <w:strike w:val="0"/>
          <w:u w:val="none"/>
        </w:rPr>
        <w:t>Subpatentable</w:t>
      </w:r>
      <w:r>
        <w:rPr>
          <w:b w:val="0"/>
          <w:i w:val="0"/>
          <w:smallCaps w:val="0"/>
          <w:strike w:val="0"/>
          <w:u w:val="none"/>
        </w:rPr>
        <w:t xml:space="preserve"> Innovation</w:t>
      </w:r>
      <w:r>
        <w:rPr>
          <w:b w:val="0"/>
          <w:i w:val="0"/>
          <w:smallCaps w:val="0"/>
          <w:strike w:val="0"/>
          <w:u w:val="none"/>
        </w:rPr>
        <w:t xml:space="preserve">,” </w:t>
      </w:r>
      <w:r>
        <w:rPr>
          <w:b w:val="0"/>
          <w:i/>
          <w:smallCaps w:val="0"/>
          <w:strike w:val="0"/>
          <w:u w:val="none"/>
        </w:rPr>
        <w:t>UC Davis Law Review</w:t>
      </w:r>
      <w:r>
        <w:rPr>
          <w:b w:val="0"/>
          <w:i w:val="0"/>
          <w:smallCaps w:val="0"/>
          <w:strike w:val="0"/>
          <w:u w:val="none"/>
        </w:rPr>
        <w:t xml:space="preserve">, February 2024, Vol. 57, Pg 2059, </w:t>
      </w:r>
      <w:r>
        <w:rPr>
          <w:b w:val="0"/>
          <w:i w:val="0"/>
          <w:smallCaps w:val="0"/>
          <w:strike w:val="0"/>
          <w:u w:val="none"/>
        </w:rPr>
        <w:t>https://lawreview.law.ucdavis.edu/archives/57/3/codified-liability-regime-stimulate-greater-investment-subpatentable-innovation</w:t>
      </w:r>
      <w:r>
        <w:rPr>
          <w:b w:val="0"/>
          <w:i w:val="0"/>
          <w:smallCaps w:val="0"/>
          <w:strike w:val="0"/>
          <w:u w:val="none"/>
        </w:rPr>
        <w:t>, Accessed 7-11-2024 by NT-RS through LexisNexis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At present, </w:t>
      </w:r>
      <w:r>
        <w:rPr>
          <w:b/>
          <w:i w:val="0"/>
          <w:smallCaps w:val="0"/>
          <w:strike w:val="0"/>
          <w:sz w:val="22"/>
          <w:u w:val="single"/>
        </w:rPr>
        <w:t>when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U.S. Patent and Trademark Office </w:t>
      </w:r>
      <w:r>
        <w:rPr>
          <w:b/>
          <w:i w:val="0"/>
          <w:smallCaps w:val="0"/>
          <w:strike w:val="0"/>
          <w:sz w:val="22"/>
          <w:u w:val="single"/>
        </w:rPr>
        <w:t>("PT</w:t>
      </w:r>
      <w:r>
        <w:rPr>
          <w:b/>
          <w:i w:val="0"/>
          <w:smallCaps w:val="0"/>
          <w:strike w:val="0"/>
          <w:sz w:val="22"/>
          <w:u w:val="single"/>
        </w:rPr>
        <w:t>O") examines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utility </w:t>
      </w:r>
      <w:r>
        <w:rPr>
          <w:b/>
          <w:i w:val="0"/>
          <w:smallCaps w:val="0"/>
          <w:strike w:val="0"/>
          <w:sz w:val="22"/>
          <w:u w:val="single"/>
        </w:rPr>
        <w:t>patent applications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it </w:t>
      </w:r>
      <w:r>
        <w:rPr>
          <w:b/>
          <w:i w:val="0"/>
          <w:smallCaps w:val="0"/>
          <w:strike w:val="0"/>
          <w:sz w:val="22"/>
          <w:u w:val="single"/>
        </w:rPr>
        <w:t>already evaluates the statutory criteria of novelty, non-obviousness, and utility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.100 If a regime protecting </w:t>
      </w:r>
      <w:r>
        <w:rPr>
          <w:b w:val="0"/>
          <w:i w:val="0"/>
          <w:smallCaps w:val="0"/>
          <w:strike w:val="0"/>
          <w:sz w:val="16"/>
          <w:u w:val="none"/>
        </w:rPr>
        <w:t>subpatentable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innovation were enacted, it is safe to assume that the patent applicant will always prefer to obtain a patent whenever that is possible. By the same logic, however,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applicant would</w:t>
      </w:r>
      <w:r>
        <w:rPr>
          <w:b/>
          <w:i w:val="0"/>
          <w:smallCaps w:val="0"/>
          <w:strike w:val="0"/>
          <w:sz w:val="22"/>
          <w:u w:val="single"/>
        </w:rPr>
        <w:t xml:space="preserve"> normally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prefer to have at least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fallback protection</w:t>
      </w:r>
      <w:r>
        <w:rPr>
          <w:b/>
          <w:i w:val="0"/>
          <w:smallCaps w:val="0"/>
          <w:strike w:val="0"/>
          <w:sz w:val="22"/>
          <w:u w:val="single"/>
        </w:rPr>
        <w:t xml:space="preserve"> conferred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by the liability rule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rather than </w:t>
      </w:r>
      <w:r>
        <w:rPr>
          <w:b/>
          <w:i w:val="0"/>
          <w:smallCaps w:val="0"/>
          <w:strike w:val="0"/>
          <w:sz w:val="22"/>
          <w:u w:val="single"/>
        </w:rPr>
        <w:t>facing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unbridled competition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if the patent application is ultimately denied. For the sake of efficiency, therefore, [*2060] this inference should be built into the procedural aspects of the system wherever possible. More specifically, </w:t>
      </w:r>
      <w:r>
        <w:rPr>
          <w:b/>
          <w:i w:val="0"/>
          <w:smallCaps w:val="0"/>
          <w:strike w:val="0"/>
          <w:sz w:val="22"/>
          <w:u w:val="single"/>
        </w:rPr>
        <w:t>under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our preferred implementation of </w:t>
      </w:r>
      <w:r>
        <w:rPr>
          <w:b/>
          <w:i w:val="0"/>
          <w:smallCaps w:val="0"/>
          <w:strike w:val="0"/>
          <w:sz w:val="22"/>
          <w:u w:val="single"/>
        </w:rPr>
        <w:t>the regime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a failure to meet the non-obviousness requirement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under the patent application should </w:t>
      </w:r>
      <w:r>
        <w:rPr>
          <w:b/>
          <w:i w:val="0"/>
          <w:smallCaps w:val="0"/>
          <w:strike w:val="0"/>
          <w:sz w:val="22"/>
          <w:u w:val="single"/>
        </w:rPr>
        <w:t>automatically trigger a secondary evaluation under the eligibility criteria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the liability rule protecting </w:t>
      </w:r>
      <w:r>
        <w:rPr>
          <w:b w:val="0"/>
          <w:i w:val="0"/>
          <w:smallCaps w:val="0"/>
          <w:strike w:val="0"/>
          <w:sz w:val="16"/>
          <w:u w:val="none"/>
        </w:rPr>
        <w:t>subpatentable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innovation. The patent applicant should not be required to make a secondary application if all that the innovation qualifies for is protection under the liability rule.101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