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Traditional IPR is </w:t>
      </w:r>
      <w:r>
        <w:rPr>
          <w:b/>
          <w:i w:val="0"/>
          <w:smallCaps w:val="0"/>
          <w:strike w:val="0"/>
          <w:sz w:val="26"/>
          <w:u w:val="single"/>
        </w:rPr>
        <w:t>impossible</w:t>
      </w:r>
      <w:r>
        <w:rPr>
          <w:b/>
          <w:i w:val="0"/>
          <w:smallCaps w:val="0"/>
          <w:strike w:val="0"/>
          <w:sz w:val="26"/>
          <w:u w:val="none"/>
        </w:rPr>
        <w:t xml:space="preserve">, liability rules are </w:t>
      </w:r>
      <w:r>
        <w:rPr>
          <w:b/>
          <w:i w:val="0"/>
          <w:smallCaps w:val="0"/>
          <w:strike w:val="0"/>
          <w:sz w:val="26"/>
          <w:u w:val="single"/>
        </w:rPr>
        <w:t>key</w:t>
      </w:r>
    </w:p>
    <w:p>
      <w:pPr>
        <w:spacing w:after="80"/>
      </w:pPr>
      <w:r>
        <w:rPr>
          <w:b w:val="0"/>
          <w:i w:val="0"/>
          <w:smallCaps w:val="0"/>
          <w:strike w:val="0"/>
          <w:u w:val="none"/>
        </w:rPr>
        <w:t xml:space="preserve">Jerome H. </w:t>
      </w:r>
      <w:r>
        <w:rPr>
          <w:b/>
          <w:i w:val="0"/>
          <w:smallCaps w:val="0"/>
          <w:strike w:val="0"/>
          <w:sz w:val="26"/>
          <w:u w:val="none"/>
        </w:rPr>
        <w:t>Reichman ‘00</w:t>
      </w:r>
      <w:r>
        <w:rPr>
          <w:b w:val="0"/>
          <w:i w:val="0"/>
          <w:smallCaps w:val="0"/>
          <w:strike w:val="0"/>
          <w:u w:val="none"/>
        </w:rPr>
        <w:t xml:space="preserve">, </w:t>
      </w:r>
      <w:r>
        <w:rPr>
          <w:b w:val="0"/>
          <w:i w:val="0"/>
          <w:smallCaps w:val="0"/>
          <w:strike w:val="0"/>
          <w:u w:val="none"/>
        </w:rPr>
        <w:t>Bunyan S. Womble Professor of Law at Duke Law School focusing largely on IP law including comparative and international IP law and former special advisor to the United States National Academies and the International Council for Science (ICSU) on the subject of legal protection for databases</w:t>
      </w:r>
      <w:r>
        <w:rPr>
          <w:b w:val="0"/>
          <w:i w:val="0"/>
          <w:smallCaps w:val="0"/>
          <w:strike w:val="0"/>
          <w:u w:val="none"/>
        </w:rPr>
        <w:t>, “</w:t>
      </w:r>
      <w:r>
        <w:rPr>
          <w:b w:val="0"/>
          <w:i w:val="0"/>
          <w:smallCaps w:val="0"/>
          <w:strike w:val="0"/>
          <w:u w:val="none"/>
        </w:rPr>
        <w:t xml:space="preserve">Of Green Tulips and Legal Kudzu: Repacking Rights in </w:t>
      </w:r>
      <w:r>
        <w:rPr>
          <w:b w:val="0"/>
          <w:i w:val="0"/>
          <w:smallCaps w:val="0"/>
          <w:strike w:val="0"/>
          <w:u w:val="none"/>
        </w:rPr>
        <w:t>Subpatentable</w:t>
      </w:r>
      <w:r>
        <w:rPr>
          <w:b w:val="0"/>
          <w:i w:val="0"/>
          <w:smallCaps w:val="0"/>
          <w:strike w:val="0"/>
          <w:u w:val="none"/>
        </w:rPr>
        <w:t xml:space="preserve"> Innovation</w:t>
      </w:r>
      <w:r>
        <w:rPr>
          <w:b w:val="0"/>
          <w:i w:val="0"/>
          <w:smallCaps w:val="0"/>
          <w:strike w:val="0"/>
          <w:u w:val="none"/>
        </w:rPr>
        <w:t xml:space="preserve">,” </w:t>
      </w:r>
      <w:r>
        <w:rPr>
          <w:b w:val="0"/>
          <w:i/>
          <w:smallCaps w:val="0"/>
          <w:strike w:val="0"/>
          <w:u w:val="none"/>
        </w:rPr>
        <w:t>Vanderbilt Law Review</w:t>
      </w:r>
      <w:r>
        <w:rPr>
          <w:b w:val="0"/>
          <w:i w:val="0"/>
          <w:smallCaps w:val="0"/>
          <w:strike w:val="0"/>
          <w:u w:val="none"/>
        </w:rPr>
        <w:t xml:space="preserve">, </w:t>
      </w:r>
      <w:r>
        <w:rPr>
          <w:b w:val="0"/>
          <w:i w:val="0"/>
          <w:smallCaps w:val="0"/>
          <w:strike w:val="0"/>
          <w:u w:val="none"/>
        </w:rPr>
        <w:t>pg</w:t>
      </w:r>
      <w:r>
        <w:rPr>
          <w:b w:val="0"/>
          <w:i w:val="0"/>
          <w:smallCaps w:val="0"/>
          <w:strike w:val="0"/>
          <w:u w:val="none"/>
        </w:rPr>
        <w:t xml:space="preserve"> 1796, November 2000, Accessed 7-16-2024 by NT-RS</w:t>
      </w:r>
    </w:p>
    <w:p>
      <w:pPr>
        <w:spacing w:after="60"/>
      </w:pPr>
      <w:r>
        <w:rPr>
          <w:b w:val="0"/>
          <w:i w:val="0"/>
          <w:smallCaps w:val="0"/>
          <w:strike w:val="0"/>
          <w:sz w:val="16"/>
          <w:u w:val="none"/>
        </w:rPr>
        <w:t xml:space="preserve">The proposed compensatory </w:t>
      </w:r>
      <w:r>
        <w:rPr>
          <w:b/>
          <w:i w:val="0"/>
          <w:smallCaps w:val="0"/>
          <w:strike w:val="0"/>
          <w:sz w:val="22"/>
          <w:u w:val="single"/>
        </w:rPr>
        <w:t>liability regime</w:t>
      </w:r>
      <w:r>
        <w:rPr>
          <w:b w:val="0"/>
          <w:i w:val="0"/>
          <w:smallCaps w:val="0"/>
          <w:strike w:val="0"/>
          <w:sz w:val="16"/>
          <w:u w:val="none"/>
        </w:rPr>
        <w:t xml:space="preserve"> was articulated with the historical problems of the developed industrial world in mind, but it </w:t>
      </w:r>
      <w:r>
        <w:rPr>
          <w:b/>
          <w:i w:val="0"/>
          <w:smallCaps w:val="0"/>
          <w:strike w:val="0"/>
          <w:sz w:val="22"/>
          <w:u w:val="single"/>
        </w:rPr>
        <w:t>will prove beneficial</w:t>
      </w:r>
      <w:r>
        <w:rPr>
          <w:b w:val="0"/>
          <w:i w:val="0"/>
          <w:smallCaps w:val="0"/>
          <w:strike w:val="0"/>
          <w:sz w:val="16"/>
          <w:u w:val="none"/>
        </w:rPr>
        <w:t xml:space="preserve"> in other contexts as well</w:t>
      </w:r>
      <w:r>
        <w:rPr>
          <w:b/>
          <w:i w:val="0"/>
          <w:smallCaps w:val="0"/>
          <w:strike w:val="0"/>
          <w:sz w:val="22"/>
          <w:u w:val="single"/>
        </w:rPr>
        <w:t>. For example</w:t>
      </w:r>
      <w:r>
        <w:rPr>
          <w:b w:val="0"/>
          <w:i w:val="0"/>
          <w:smallCaps w:val="0"/>
          <w:strike w:val="0"/>
          <w:sz w:val="16"/>
          <w:u w:val="none"/>
        </w:rPr>
        <w:t xml:space="preserve">, the development of </w:t>
      </w:r>
      <w:r>
        <w:rPr>
          <w:b/>
          <w:i w:val="0"/>
          <w:smallCaps w:val="0"/>
          <w:strike w:val="0"/>
          <w:sz w:val="22"/>
          <w:u w:val="single"/>
        </w:rPr>
        <w:t xml:space="preserve">the </w:t>
      </w:r>
      <w:r>
        <w:rPr>
          <w:b/>
          <w:i w:val="0"/>
          <w:smallCaps w:val="0"/>
          <w:strike w:val="0"/>
          <w:sz w:val="22"/>
          <w:highlight w:val="cyan"/>
          <w:u w:val="single"/>
        </w:rPr>
        <w:t>Internet</w:t>
      </w:r>
      <w:r>
        <w:rPr>
          <w:b w:val="0"/>
          <w:i w:val="0"/>
          <w:smallCaps w:val="0"/>
          <w:strike w:val="0"/>
          <w:sz w:val="16"/>
          <w:u w:val="none"/>
        </w:rPr>
        <w:t xml:space="preserve">, </w:t>
      </w:r>
      <w:r>
        <w:rPr>
          <w:b/>
          <w:i w:val="0"/>
          <w:smallCaps w:val="0"/>
          <w:strike w:val="0"/>
          <w:sz w:val="22"/>
          <w:u w:val="single"/>
        </w:rPr>
        <w:t>digitization</w:t>
      </w:r>
      <w:r>
        <w:rPr>
          <w:b w:val="0"/>
          <w:i w:val="0"/>
          <w:smallCaps w:val="0"/>
          <w:strike w:val="0"/>
          <w:sz w:val="16"/>
          <w:u w:val="none"/>
        </w:rPr>
        <w:t xml:space="preserve">, </w:t>
      </w:r>
      <w:r>
        <w:rPr>
          <w:b/>
          <w:i w:val="0"/>
          <w:smallCaps w:val="0"/>
          <w:strike w:val="0"/>
          <w:sz w:val="22"/>
          <w:highlight w:val="cyan"/>
          <w:u w:val="single"/>
        </w:rPr>
        <w:t>and</w:t>
      </w:r>
      <w:r>
        <w:rPr>
          <w:b/>
          <w:i w:val="0"/>
          <w:smallCaps w:val="0"/>
          <w:strike w:val="0"/>
          <w:sz w:val="22"/>
          <w:u w:val="single"/>
        </w:rPr>
        <w:t xml:space="preserve"> </w:t>
      </w:r>
      <w:r>
        <w:rPr>
          <w:b/>
          <w:i w:val="0"/>
          <w:smallCaps w:val="0"/>
          <w:strike w:val="0"/>
          <w:sz w:val="22"/>
          <w:highlight w:val="cyan"/>
          <w:u w:val="single"/>
        </w:rPr>
        <w:t>e</w:t>
      </w:r>
      <w:r>
        <w:rPr>
          <w:b w:val="0"/>
          <w:i w:val="0"/>
          <w:smallCaps w:val="0"/>
          <w:strike w:val="0"/>
          <w:sz w:val="16"/>
          <w:u w:val="none"/>
        </w:rPr>
        <w:t>lectronic</w:t>
      </w:r>
      <w:r>
        <w:rPr>
          <w:b/>
          <w:i w:val="0"/>
          <w:smallCaps w:val="0"/>
          <w:strike w:val="0"/>
          <w:sz w:val="22"/>
          <w:u w:val="single"/>
        </w:rPr>
        <w:t xml:space="preserve"> </w:t>
      </w:r>
      <w:r>
        <w:rPr>
          <w:b/>
          <w:i w:val="0"/>
          <w:smallCaps w:val="0"/>
          <w:strike w:val="0"/>
          <w:sz w:val="22"/>
          <w:highlight w:val="cyan"/>
          <w:u w:val="single"/>
        </w:rPr>
        <w:t>commerce</w:t>
      </w:r>
      <w:r>
        <w:rPr>
          <w:b w:val="0"/>
          <w:i w:val="0"/>
          <w:smallCaps w:val="0"/>
          <w:strike w:val="0"/>
          <w:sz w:val="16"/>
          <w:u w:val="none"/>
        </w:rPr>
        <w:t xml:space="preserve"> pose new challenges to small scale innovation. These </w:t>
      </w:r>
      <w:r>
        <w:rPr>
          <w:b/>
          <w:i w:val="0"/>
          <w:smallCaps w:val="0"/>
          <w:strike w:val="0"/>
          <w:sz w:val="22"/>
          <w:highlight w:val="cyan"/>
          <w:u w:val="single"/>
        </w:rPr>
        <w:t>advances reduce the cost of copying</w:t>
      </w:r>
      <w:r>
        <w:rPr>
          <w:b w:val="0"/>
          <w:i w:val="0"/>
          <w:smallCaps w:val="0"/>
          <w:strike w:val="0"/>
          <w:sz w:val="16"/>
          <w:u w:val="none"/>
        </w:rPr>
        <w:t>, shrink lead time, and increase the risk that small-scale innovators will take matters into their own hands and create totally unregulated states of artificial lead time through encryption and adhesion contracts</w:t>
      </w:r>
      <w:r>
        <w:rPr>
          <w:b/>
          <w:i w:val="0"/>
          <w:smallCaps w:val="0"/>
          <w:strike w:val="0"/>
          <w:sz w:val="22"/>
          <w:u w:val="single"/>
        </w:rPr>
        <w:t>. If enforceable</w:t>
      </w:r>
      <w:r>
        <w:rPr>
          <w:b w:val="0"/>
          <w:i w:val="0"/>
          <w:smallCaps w:val="0"/>
          <w:strike w:val="0"/>
          <w:sz w:val="16"/>
          <w:u w:val="none"/>
        </w:rPr>
        <w:t xml:space="preserve">, these </w:t>
      </w:r>
      <w:r>
        <w:rPr>
          <w:b/>
          <w:i w:val="0"/>
          <w:smallCaps w:val="0"/>
          <w:strike w:val="0"/>
          <w:sz w:val="22"/>
          <w:highlight w:val="cyan"/>
          <w:u w:val="single"/>
        </w:rPr>
        <w:t>electronically imposed standard form contracts</w:t>
      </w:r>
      <w:r>
        <w:rPr>
          <w:b/>
          <w:i w:val="0"/>
          <w:smallCaps w:val="0"/>
          <w:strike w:val="0"/>
          <w:sz w:val="22"/>
          <w:u w:val="single"/>
        </w:rPr>
        <w:t xml:space="preserve"> could </w:t>
      </w:r>
      <w:r>
        <w:rPr>
          <w:b/>
          <w:i w:val="0"/>
          <w:smallCaps w:val="0"/>
          <w:strike w:val="0"/>
          <w:sz w:val="22"/>
          <w:highlight w:val="cyan"/>
          <w:u w:val="single"/>
        </w:rPr>
        <w:t>degenerate into</w:t>
      </w:r>
      <w:r>
        <w:rPr>
          <w:b/>
          <w:i w:val="0"/>
          <w:smallCaps w:val="0"/>
          <w:strike w:val="0"/>
          <w:sz w:val="22"/>
          <w:u w:val="single"/>
        </w:rPr>
        <w:t xml:space="preserve"> a basis for asserting </w:t>
      </w:r>
      <w:r>
        <w:rPr>
          <w:b/>
          <w:i w:val="0"/>
          <w:smallCaps w:val="0"/>
          <w:strike w:val="0"/>
          <w:sz w:val="22"/>
          <w:highlight w:val="cyan"/>
          <w:u w:val="single"/>
        </w:rPr>
        <w:t>private 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 xml:space="preserve">roperty </w:t>
      </w:r>
      <w:r>
        <w:rPr>
          <w:b/>
          <w:i w:val="0"/>
          <w:smallCaps w:val="0"/>
          <w:strike w:val="0"/>
          <w:sz w:val="22"/>
          <w:highlight w:val="cyan"/>
          <w:u w:val="single"/>
        </w:rPr>
        <w:t>r</w:t>
      </w:r>
      <w:r>
        <w:rPr>
          <w:b/>
          <w:i w:val="0"/>
          <w:smallCaps w:val="0"/>
          <w:strike w:val="0"/>
          <w:sz w:val="22"/>
          <w:u w:val="single"/>
        </w:rPr>
        <w:t>ights</w:t>
      </w:r>
      <w:r>
        <w:rPr>
          <w:b w:val="0"/>
          <w:i w:val="0"/>
          <w:smallCaps w:val="0"/>
          <w:strike w:val="0"/>
          <w:sz w:val="16"/>
          <w:u w:val="none"/>
        </w:rPr>
        <w:t xml:space="preserve"> </w:t>
      </w:r>
      <w:r>
        <w:rPr>
          <w:b/>
          <w:i w:val="0"/>
          <w:smallCaps w:val="0"/>
          <w:strike w:val="0"/>
          <w:sz w:val="22"/>
          <w:highlight w:val="cyan"/>
          <w:u w:val="single"/>
        </w:rPr>
        <w:t>that</w:t>
      </w:r>
      <w:r>
        <w:rPr>
          <w:b/>
          <w:i w:val="0"/>
          <w:smallCaps w:val="0"/>
          <w:strike w:val="0"/>
          <w:sz w:val="22"/>
          <w:u w:val="single"/>
        </w:rPr>
        <w:t xml:space="preserve"> override</w:t>
      </w:r>
      <w:r>
        <w:rPr>
          <w:b w:val="0"/>
          <w:i w:val="0"/>
          <w:smallCaps w:val="0"/>
          <w:strike w:val="0"/>
          <w:sz w:val="16"/>
          <w:u w:val="none"/>
        </w:rPr>
        <w:t xml:space="preserve"> all the public-interest safeguards that had ensured access to the </w:t>
      </w:r>
      <w:r>
        <w:rPr>
          <w:b/>
          <w:i w:val="0"/>
          <w:smallCaps w:val="0"/>
          <w:strike w:val="0"/>
          <w:sz w:val="22"/>
          <w:u w:val="single"/>
        </w:rPr>
        <w:t>public domain under traditional intellectual property laws</w:t>
      </w:r>
      <w:r>
        <w:rPr>
          <w:b w:val="0"/>
          <w:i w:val="0"/>
          <w:smallCaps w:val="0"/>
          <w:strike w:val="0"/>
          <w:sz w:val="16"/>
          <w:u w:val="none"/>
        </w:rPr>
        <w:t xml:space="preserve">. 187 There are </w:t>
      </w:r>
      <w:r>
        <w:rPr>
          <w:b/>
          <w:i w:val="0"/>
          <w:smallCaps w:val="0"/>
          <w:strike w:val="0"/>
          <w:sz w:val="22"/>
          <w:u w:val="single"/>
        </w:rPr>
        <w:t>serious risks</w:t>
      </w:r>
      <w:r>
        <w:rPr>
          <w:b w:val="0"/>
          <w:i w:val="0"/>
          <w:smallCaps w:val="0"/>
          <w:strike w:val="0"/>
          <w:sz w:val="16"/>
          <w:u w:val="none"/>
        </w:rPr>
        <w:t xml:space="preserve"> that these standard-form adhesion contracts </w:t>
      </w:r>
      <w:r>
        <w:rPr>
          <w:b/>
          <w:i w:val="0"/>
          <w:smallCaps w:val="0"/>
          <w:strike w:val="0"/>
          <w:sz w:val="22"/>
          <w:u w:val="single"/>
        </w:rPr>
        <w:t>could thus</w:t>
      </w:r>
      <w:r>
        <w:rPr>
          <w:b w:val="0"/>
          <w:i w:val="0"/>
          <w:smallCaps w:val="0"/>
          <w:strike w:val="0"/>
          <w:sz w:val="16"/>
          <w:u w:val="none"/>
        </w:rPr>
        <w:t xml:space="preserve"> </w:t>
      </w:r>
      <w:r>
        <w:rPr>
          <w:b/>
          <w:i w:val="0"/>
          <w:smallCaps w:val="0"/>
          <w:strike w:val="0"/>
          <w:sz w:val="22"/>
          <w:highlight w:val="cyan"/>
          <w:u w:val="single"/>
        </w:rPr>
        <w:t>balkanize</w:t>
      </w:r>
      <w:r>
        <w:rPr>
          <w:b w:val="0"/>
          <w:i w:val="0"/>
          <w:smallCaps w:val="0"/>
          <w:strike w:val="0"/>
          <w:sz w:val="16"/>
          <w:highlight w:val="cyan"/>
          <w:u w:val="none"/>
        </w:rPr>
        <w:t xml:space="preserve"> </w:t>
      </w:r>
      <w:r>
        <w:rPr>
          <w:b/>
          <w:i w:val="0"/>
          <w:smallCaps w:val="0"/>
          <w:strike w:val="0"/>
          <w:sz w:val="22"/>
          <w:highlight w:val="cyan"/>
          <w:u w:val="single"/>
        </w:rPr>
        <w:t>the info</w:t>
      </w:r>
      <w:r>
        <w:rPr>
          <w:b/>
          <w:i w:val="0"/>
          <w:smallCaps w:val="0"/>
          <w:strike w:val="0"/>
          <w:sz w:val="22"/>
          <w:u w:val="single"/>
        </w:rPr>
        <w:t xml:space="preserve">rmation </w:t>
      </w:r>
      <w:r>
        <w:rPr>
          <w:b/>
          <w:i w:val="0"/>
          <w:smallCaps w:val="0"/>
          <w:strike w:val="0"/>
          <w:sz w:val="22"/>
          <w:highlight w:val="cyan"/>
          <w:u w:val="single"/>
        </w:rPr>
        <w:t>commons</w:t>
      </w:r>
      <w:r>
        <w:rPr>
          <w:b w:val="0"/>
          <w:i w:val="0"/>
          <w:smallCaps w:val="0"/>
          <w:strike w:val="0"/>
          <w:sz w:val="16"/>
          <w:u w:val="none"/>
        </w:rPr>
        <w:t xml:space="preserve"> </w:t>
      </w:r>
      <w:r>
        <w:rPr>
          <w:b/>
          <w:i w:val="0"/>
          <w:smallCaps w:val="0"/>
          <w:strike w:val="0"/>
          <w:sz w:val="22"/>
          <w:highlight w:val="cyan"/>
          <w:u w:val="single"/>
        </w:rPr>
        <w:t>and</w:t>
      </w:r>
      <w:r>
        <w:rPr>
          <w:b/>
          <w:i w:val="0"/>
          <w:smallCaps w:val="0"/>
          <w:strike w:val="0"/>
          <w:sz w:val="22"/>
          <w:u w:val="single"/>
        </w:rPr>
        <w:t xml:space="preserve"> </w:t>
      </w:r>
      <w:r>
        <w:rPr>
          <w:b/>
          <w:i w:val="0"/>
          <w:smallCaps w:val="0"/>
          <w:strike w:val="0"/>
          <w:sz w:val="22"/>
          <w:u w:val="single"/>
        </w:rPr>
        <w:t xml:space="preserve">reintroduce conditions that </w:t>
      </w:r>
      <w:r>
        <w:rPr>
          <w:b/>
          <w:i w:val="0"/>
          <w:smallCaps w:val="0"/>
          <w:strike w:val="0"/>
          <w:sz w:val="22"/>
          <w:highlight w:val="cyan"/>
          <w:u w:val="single"/>
        </w:rPr>
        <w:t>impede the flow of info</w:t>
      </w:r>
      <w:r>
        <w:rPr>
          <w:b/>
          <w:i w:val="0"/>
          <w:smallCaps w:val="0"/>
          <w:strike w:val="0"/>
          <w:sz w:val="22"/>
          <w:u w:val="single"/>
        </w:rPr>
        <w:t>rmation</w:t>
      </w:r>
      <w:r>
        <w:rPr>
          <w:b w:val="0"/>
          <w:i w:val="0"/>
          <w:smallCaps w:val="0"/>
          <w:strike w:val="0"/>
          <w:sz w:val="16"/>
          <w:u w:val="none"/>
        </w:rPr>
        <w:t>.</w:t>
      </w:r>
    </w:p>
    <w:p>
      <w:pPr>
        <w:spacing w:after="60"/>
      </w:pPr>
      <w:r>
        <w:rPr>
          <w:b/>
          <w:i w:val="0"/>
          <w:smallCaps w:val="0"/>
          <w:strike w:val="0"/>
          <w:sz w:val="22"/>
          <w:u w:val="single"/>
        </w:rPr>
        <w:t>However</w:t>
      </w:r>
      <w:r>
        <w:rPr>
          <w:b w:val="0"/>
          <w:i w:val="0"/>
          <w:smallCaps w:val="0"/>
          <w:strike w:val="0"/>
          <w:sz w:val="16"/>
          <w:u w:val="none"/>
        </w:rPr>
        <w:t xml:space="preserve">, the enactment of a </w:t>
      </w:r>
      <w:r>
        <w:rPr>
          <w:b w:val="0"/>
          <w:i w:val="0"/>
          <w:smallCaps w:val="0"/>
          <w:strike w:val="0"/>
          <w:sz w:val="16"/>
          <w:u w:val="none"/>
        </w:rPr>
        <w:t>general purpose</w:t>
      </w:r>
      <w:r>
        <w:rPr>
          <w:b w:val="0"/>
          <w:i w:val="0"/>
          <w:smallCaps w:val="0"/>
          <w:strike w:val="0"/>
          <w:sz w:val="16"/>
          <w:u w:val="none"/>
        </w:rPr>
        <w:t xml:space="preserve"> innovation law on modified </w:t>
      </w:r>
      <w:r>
        <w:rPr>
          <w:b/>
          <w:i w:val="0"/>
          <w:smallCaps w:val="0"/>
          <w:strike w:val="0"/>
          <w:sz w:val="22"/>
          <w:highlight w:val="cyan"/>
          <w:u w:val="single"/>
        </w:rPr>
        <w:t>liability</w:t>
      </w:r>
      <w:r>
        <w:rPr>
          <w:b/>
          <w:i w:val="0"/>
          <w:smallCaps w:val="0"/>
          <w:strike w:val="0"/>
          <w:sz w:val="22"/>
          <w:u w:val="single"/>
        </w:rPr>
        <w:t xml:space="preserve"> principles would </w:t>
      </w:r>
      <w:r>
        <w:rPr>
          <w:b/>
          <w:i w:val="0"/>
          <w:smallCaps w:val="0"/>
          <w:strike w:val="0"/>
          <w:sz w:val="22"/>
          <w:highlight w:val="cyan"/>
          <w:u w:val="single"/>
        </w:rPr>
        <w:t>lessen these risks</w:t>
      </w:r>
      <w:r>
        <w:rPr>
          <w:b w:val="0"/>
          <w:i w:val="0"/>
          <w:smallCaps w:val="0"/>
          <w:strike w:val="0"/>
          <w:sz w:val="16"/>
          <w:u w:val="none"/>
        </w:rPr>
        <w:t xml:space="preserve"> because it would </w:t>
      </w:r>
      <w:r>
        <w:rPr>
          <w:b/>
          <w:i w:val="0"/>
          <w:smallCaps w:val="0"/>
          <w:strike w:val="0"/>
          <w:sz w:val="22"/>
          <w:highlight w:val="cyan"/>
          <w:u w:val="single"/>
        </w:rPr>
        <w:t>offer those who innovate</w:t>
      </w:r>
      <w:r>
        <w:rPr>
          <w:b/>
          <w:i w:val="0"/>
          <w:smallCaps w:val="0"/>
          <w:strike w:val="0"/>
          <w:sz w:val="22"/>
          <w:u w:val="single"/>
        </w:rPr>
        <w:t xml:space="preserve"> </w:t>
      </w:r>
      <w:r>
        <w:rPr>
          <w:b w:val="0"/>
          <w:i w:val="0"/>
          <w:smallCaps w:val="0"/>
          <w:strike w:val="0"/>
          <w:sz w:val="16"/>
          <w:u w:val="none"/>
        </w:rPr>
        <w:t xml:space="preserve">in this environment </w:t>
      </w:r>
      <w:r>
        <w:rPr>
          <w:b/>
          <w:i w:val="0"/>
          <w:smallCaps w:val="0"/>
          <w:strike w:val="0"/>
          <w:sz w:val="22"/>
          <w:u w:val="single"/>
        </w:rPr>
        <w:t xml:space="preserve">a </w:t>
      </w:r>
      <w:r>
        <w:rPr>
          <w:b/>
          <w:i w:val="0"/>
          <w:smallCaps w:val="0"/>
          <w:strike w:val="0"/>
          <w:sz w:val="22"/>
          <w:highlight w:val="cyan"/>
          <w:u w:val="single"/>
        </w:rPr>
        <w:t>way to alleviate market failure</w:t>
      </w:r>
      <w:r>
        <w:rPr>
          <w:b/>
          <w:i w:val="0"/>
          <w:smallCaps w:val="0"/>
          <w:strike w:val="0"/>
          <w:sz w:val="22"/>
          <w:u w:val="single"/>
        </w:rPr>
        <w:t xml:space="preserve"> without impoverishing the public domain</w:t>
      </w:r>
      <w:r>
        <w:rPr>
          <w:b w:val="0"/>
          <w:i w:val="0"/>
          <w:smallCaps w:val="0"/>
          <w:strike w:val="0"/>
          <w:sz w:val="16"/>
          <w:u w:val="none"/>
        </w:rPr>
        <w:t xml:space="preserve">. Indeed, the </w:t>
      </w:r>
      <w:r>
        <w:rPr>
          <w:b/>
          <w:i w:val="0"/>
          <w:smallCaps w:val="0"/>
          <w:strike w:val="0"/>
          <w:sz w:val="22"/>
          <w:u w:val="single"/>
        </w:rPr>
        <w:t>convergence of telecommunications and digital technologies</w:t>
      </w:r>
      <w:r>
        <w:rPr>
          <w:b w:val="0"/>
          <w:i w:val="0"/>
          <w:smallCaps w:val="0"/>
          <w:strike w:val="0"/>
          <w:sz w:val="16"/>
          <w:u w:val="none"/>
        </w:rPr>
        <w:t xml:space="preserve"> may itself </w:t>
      </w:r>
      <w:r>
        <w:rPr>
          <w:b/>
          <w:i w:val="0"/>
          <w:smallCaps w:val="0"/>
          <w:strike w:val="0"/>
          <w:sz w:val="22"/>
          <w:u w:val="single"/>
        </w:rPr>
        <w:t>contribute to the operation of the liability regime</w:t>
      </w:r>
      <w:r>
        <w:rPr>
          <w:b w:val="0"/>
          <w:i w:val="0"/>
          <w:smallCaps w:val="0"/>
          <w:strike w:val="0"/>
          <w:sz w:val="16"/>
          <w:u w:val="none"/>
        </w:rPr>
        <w:t>. Online communication will expedite claim registration, help innovators find the know-how they need, facilitate negotiations, and promote the use of standardized terms. Monitoring use and collecting royalties will likewise prove easier to organize and less costly to implement online.</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