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Copyrights are </w:t>
      </w:r>
      <w:r>
        <w:rPr>
          <w:b/>
          <w:i w:val="0"/>
          <w:smallCaps w:val="0"/>
          <w:strike w:val="0"/>
          <w:sz w:val="26"/>
          <w:u w:val="single"/>
        </w:rPr>
        <w:t>too costly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>---</w:t>
      </w:r>
      <w:r>
        <w:rPr>
          <w:b/>
          <w:i w:val="0"/>
          <w:smallCaps w:val="0"/>
          <w:strike w:val="0"/>
          <w:sz w:val="26"/>
          <w:u w:val="none"/>
        </w:rPr>
        <w:t xml:space="preserve"> liability rules are key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Justin </w:t>
      </w:r>
      <w:r>
        <w:rPr>
          <w:b/>
          <w:i w:val="0"/>
          <w:smallCaps w:val="0"/>
          <w:strike w:val="0"/>
          <w:sz w:val="26"/>
          <w:u w:val="none"/>
        </w:rPr>
        <w:t>Diamond ’23</w:t>
      </w:r>
      <w:r>
        <w:rPr>
          <w:b w:val="0"/>
          <w:i w:val="0"/>
          <w:smallCaps w:val="0"/>
          <w:strike w:val="0"/>
          <w:u w:val="none"/>
        </w:rPr>
        <w:t>, Market and data analyst at Rapidan Energy Group, “AI, Intellectual Property, and the Techno-Optimist Revolution,”</w:t>
      </w:r>
      <w:r>
        <w:rPr>
          <w:b w:val="0"/>
          <w:i/>
          <w:smallCaps w:val="0"/>
          <w:strike w:val="0"/>
          <w:u w:val="none"/>
        </w:rPr>
        <w:t xml:space="preserve"> Research Gate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10.13140/RG.2.2.28750.64329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pgs</w:t>
      </w:r>
      <w:r>
        <w:rPr>
          <w:b w:val="0"/>
          <w:i w:val="0"/>
          <w:smallCaps w:val="0"/>
          <w:strike w:val="0"/>
          <w:u w:val="none"/>
        </w:rPr>
        <w:t xml:space="preserve"> 14-15, December 2023, Accessed 7-16-2024 by NT-RS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These cases are still ongoing, but the </w:t>
      </w:r>
      <w:r>
        <w:rPr>
          <w:b/>
          <w:i w:val="0"/>
          <w:smallCaps w:val="0"/>
          <w:strike w:val="0"/>
          <w:sz w:val="22"/>
          <w:u w:val="single"/>
        </w:rPr>
        <w:t>legal scholarship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around them seems to </w:t>
      </w:r>
      <w:r>
        <w:rPr>
          <w:b/>
          <w:i w:val="0"/>
          <w:smallCaps w:val="0"/>
          <w:strike w:val="0"/>
          <w:sz w:val="22"/>
          <w:u w:val="single"/>
        </w:rPr>
        <w:t xml:space="preserve">suggest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that the outputs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gen</w:t>
      </w:r>
      <w:r>
        <w:rPr>
          <w:b/>
          <w:i w:val="0"/>
          <w:smallCaps w:val="0"/>
          <w:strike w:val="0"/>
          <w:sz w:val="22"/>
          <w:u w:val="single"/>
        </w:rPr>
        <w:t xml:space="preserve">erative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AI</w:t>
      </w:r>
      <w:r>
        <w:rPr>
          <w:b/>
          <w:i w:val="0"/>
          <w:smallCaps w:val="0"/>
          <w:strike w:val="0"/>
          <w:sz w:val="22"/>
          <w:u w:val="single"/>
        </w:rPr>
        <w:t xml:space="preserve"> systems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unlikely to constitute infringemen</w:t>
      </w:r>
      <w:r>
        <w:rPr>
          <w:b/>
          <w:i w:val="0"/>
          <w:smallCaps w:val="0"/>
          <w:strike w:val="0"/>
          <w:sz w:val="22"/>
          <w:u w:val="single"/>
        </w:rPr>
        <w:t xml:space="preserve">t </w:t>
      </w:r>
      <w:r>
        <w:rPr>
          <w:b w:val="0"/>
          <w:i w:val="0"/>
          <w:smallCaps w:val="0"/>
          <w:strike w:val="0"/>
          <w:sz w:val="16"/>
          <w:u w:val="none"/>
        </w:rPr>
        <w:t>---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leaving the question of whether the remedies we grant for infringement when it does occur are commensurate with the harms suffered by artists &amp; other creators. As mentioned earlier,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fair use remedies are</w:t>
      </w:r>
      <w:r>
        <w:rPr>
          <w:b/>
          <w:i w:val="0"/>
          <w:smallCaps w:val="0"/>
          <w:strike w:val="0"/>
          <w:sz w:val="22"/>
          <w:u w:val="single"/>
        </w:rPr>
        <w:t xml:space="preserve"> typically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statutory damages or injunction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/>
          <w:i w:val="0"/>
          <w:smallCaps w:val="0"/>
          <w:strike w:val="0"/>
          <w:sz w:val="22"/>
          <w:u w:val="single"/>
        </w:rPr>
        <w:t>which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Sobel’s view “...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overcompensate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for the harms</w:t>
      </w:r>
      <w:r>
        <w:rPr>
          <w:b/>
          <w:i w:val="0"/>
          <w:smallCaps w:val="0"/>
          <w:strike w:val="0"/>
          <w:sz w:val="22"/>
          <w:u w:val="single"/>
        </w:rPr>
        <w:t xml:space="preserve"> authors are likely to suffer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from having their work included in training datasets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.”72 Guido Calabresi and Douglas Melamed describe entitlements as being protected by the state in two ways: “property rules” or “liability rules.”73 </w:t>
      </w:r>
      <w:r>
        <w:rPr>
          <w:b/>
          <w:i w:val="0"/>
          <w:smallCaps w:val="0"/>
          <w:strike w:val="0"/>
          <w:sz w:val="22"/>
          <w:u w:val="single"/>
        </w:rPr>
        <w:t>“Property rules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” </w:t>
      </w:r>
      <w:r>
        <w:rPr>
          <w:b/>
          <w:i w:val="0"/>
          <w:smallCaps w:val="0"/>
          <w:strike w:val="0"/>
          <w:sz w:val="22"/>
          <w:u w:val="single"/>
        </w:rPr>
        <w:t>which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currently used in the U.S.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copyright 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>protect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entitlement holders from [footnotes omitted] nonconsensual </w:t>
      </w:r>
      <w:r>
        <w:rPr>
          <w:b/>
          <w:i w:val="0"/>
          <w:smallCaps w:val="0"/>
          <w:strike w:val="0"/>
          <w:sz w:val="22"/>
          <w:u w:val="single"/>
        </w:rPr>
        <w:t>takings via injunctions or punitive damages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and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aimed 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fully undoing takings</w:t>
      </w:r>
      <w:r>
        <w:rPr>
          <w:b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74 </w:t>
      </w:r>
      <w:r>
        <w:rPr>
          <w:b/>
          <w:i w:val="0"/>
          <w:smallCaps w:val="0"/>
          <w:strike w:val="0"/>
          <w:sz w:val="22"/>
          <w:u w:val="single"/>
        </w:rPr>
        <w:t xml:space="preserve">Such strong remedies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enable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entitlement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holders to “set the price” of their own property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>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are “premised on the assumption that the ideal allocation will occur if private parties bargain over resources.”75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Liability rules</w:t>
      </w:r>
      <w:r>
        <w:rPr>
          <w:b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on the other hand, </w:t>
      </w:r>
      <w:r>
        <w:rPr>
          <w:b/>
          <w:i w:val="0"/>
          <w:smallCaps w:val="0"/>
          <w:strike w:val="0"/>
          <w:sz w:val="22"/>
          <w:u w:val="single"/>
        </w:rPr>
        <w:t xml:space="preserve">permit an entitlement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to be transferred in exchange for a fee set by a court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or regulatory body </w:t>
      </w:r>
      <w:r>
        <w:rPr>
          <w:b/>
          <w:i w:val="0"/>
          <w:smallCaps w:val="0"/>
          <w:strike w:val="0"/>
          <w:sz w:val="22"/>
          <w:u w:val="single"/>
        </w:rPr>
        <w:t>using an “external, objective standard of value.”</w:t>
      </w:r>
      <w:r>
        <w:rPr>
          <w:b w:val="0"/>
          <w:i w:val="0"/>
          <w:smallCaps w:val="0"/>
          <w:strike w:val="0"/>
          <w:sz w:val="16"/>
          <w:u w:val="none"/>
        </w:rPr>
        <w:t xml:space="preserve">76 Mark Lemley and Philip Weiser point out that a major justification for liability rules is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transaction costs can impede efficient bargaining</w:t>
      </w:r>
      <w:r>
        <w:rPr>
          <w:b/>
          <w:i w:val="0"/>
          <w:smallCaps w:val="0"/>
          <w:strike w:val="0"/>
          <w:sz w:val="22"/>
          <w:u w:val="single"/>
        </w:rPr>
        <w:t xml:space="preserve"> under property rule regimes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regardless of whether the property in question is real or intangible.77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Given the nature of AI development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where massive data sets are used and bargaining with countless individual entitlement holders would be incredibly costly, some have argued that the </w:t>
      </w:r>
      <w:r>
        <w:rPr>
          <w:b/>
          <w:i w:val="0"/>
          <w:smallCaps w:val="0"/>
          <w:strike w:val="0"/>
          <w:sz w:val="22"/>
          <w:u w:val="single"/>
        </w:rPr>
        <w:t xml:space="preserve">adoption of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liability rules may be an effective way to balance the equities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since this </w:t>
      </w:r>
      <w:r>
        <w:rPr>
          <w:b/>
          <w:i w:val="0"/>
          <w:smallCaps w:val="0"/>
          <w:strike w:val="0"/>
          <w:sz w:val="22"/>
          <w:u w:val="single"/>
        </w:rPr>
        <w:t xml:space="preserve">would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promote AI development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while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compensating entitlement holders in a standardized way</w:t>
      </w:r>
      <w:r>
        <w:rPr>
          <w:b w:val="0"/>
          <w:i w:val="0"/>
          <w:smallCaps w:val="0"/>
          <w:strike w:val="0"/>
          <w:sz w:val="16"/>
          <w:u w:val="none"/>
        </w:rPr>
        <w:t>. 78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