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Rights tailoring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Michael W. </w:t>
      </w:r>
      <w:r>
        <w:rPr>
          <w:b/>
          <w:i w:val="0"/>
          <w:smallCaps w:val="0"/>
          <w:strike w:val="0"/>
          <w:sz w:val="26"/>
          <w:u w:val="none"/>
        </w:rPr>
        <w:t>Carroll ’09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Professor of Law and Faculty Director of the Program on Information Justice and Intellectual Property</w:t>
      </w:r>
      <w:r>
        <w:rPr>
          <w:b w:val="0"/>
          <w:i w:val="0"/>
          <w:smallCaps w:val="0"/>
          <w:strike w:val="0"/>
          <w:u w:val="none"/>
        </w:rPr>
        <w:t xml:space="preserve"> at American University, “One Size Does Not Fit All: A Framework for Tailoring Intellectual Property Rights,” </w:t>
      </w:r>
      <w:r>
        <w:rPr>
          <w:b w:val="0"/>
          <w:i/>
          <w:smallCaps w:val="0"/>
          <w:strike w:val="0"/>
          <w:u w:val="none"/>
        </w:rPr>
        <w:t>Ohio State Law Journal</w:t>
      </w:r>
      <w:r>
        <w:rPr>
          <w:b w:val="0"/>
          <w:i w:val="0"/>
          <w:smallCaps w:val="0"/>
          <w:strike w:val="0"/>
          <w:u w:val="none"/>
        </w:rPr>
        <w:t xml:space="preserve">, 70, no 6, 2009, </w:t>
      </w:r>
      <w:r>
        <w:rPr>
          <w:b w:val="0"/>
          <w:i w:val="0"/>
          <w:smallCaps w:val="0"/>
          <w:strike w:val="0"/>
          <w:u w:val="none"/>
        </w:rPr>
        <w:t>https://digitalcommons.wcl.american.edu/cgi/viewcontent.cgi?article=1044&amp;context=facsch_lawrev</w:t>
      </w:r>
      <w:r>
        <w:rPr>
          <w:b w:val="0"/>
          <w:i w:val="0"/>
          <w:smallCaps w:val="0"/>
          <w:strike w:val="0"/>
          <w:u w:val="none"/>
        </w:rPr>
        <w:t xml:space="preserve">, Accessed 7-17-2024 by NT-RS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5. Demand-Side Features—Positive Spillovers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Even if uniform rights suited information producers to a tee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good argument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tailoring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could be derived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from e</w:t>
      </w:r>
      <w:r>
        <w:rPr>
          <w:b/>
          <w:i w:val="0"/>
          <w:smallCaps w:val="0"/>
          <w:strike w:val="0"/>
          <w:sz w:val="22"/>
          <w:u w:val="single"/>
        </w:rPr>
        <w:t>vidence of certain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positive externalities,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spillovers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 the demand side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Professors Brett Frischmann and Mark Lemley argue separately and together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efficient patent and copyright law must be limited and leaky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order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encourage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allow certain types of </w:t>
      </w:r>
      <w:r>
        <w:rPr>
          <w:b/>
          <w:i w:val="0"/>
          <w:smallCaps w:val="0"/>
          <w:strike w:val="0"/>
          <w:sz w:val="22"/>
          <w:u w:val="single"/>
        </w:rPr>
        <w:t xml:space="preserve">uncompensated demand-side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sharing of valuable information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.240 Their arguments call for tailoring to ensure that the law is particularly permissive with respect to patented or copyrighted information that functions as “infrastructure.”241 In particular, Frischmann argues that [footnote omitted]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information should be managed as a commons</w:t>
      </w:r>
      <w:r>
        <w:rPr>
          <w:b/>
          <w:i w:val="0"/>
          <w:smallCaps w:val="0"/>
          <w:strike w:val="0"/>
          <w:sz w:val="22"/>
          <w:u w:val="single"/>
        </w:rPr>
        <w:t xml:space="preserve"> rather than through private, exclusive rights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when: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(1) </w:t>
      </w:r>
      <w:r>
        <w:rPr>
          <w:b/>
          <w:i w:val="0"/>
          <w:smallCaps w:val="0"/>
          <w:strike w:val="0"/>
          <w:sz w:val="22"/>
          <w:u w:val="single"/>
        </w:rPr>
        <w:t xml:space="preserve">The resource may be consumed </w:t>
      </w:r>
      <w:r>
        <w:rPr>
          <w:b/>
          <w:i w:val="0"/>
          <w:smallCaps w:val="0"/>
          <w:strike w:val="0"/>
          <w:sz w:val="22"/>
          <w:u w:val="single"/>
        </w:rPr>
        <w:t>nonrivalrously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(2) Social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demand</w:t>
      </w:r>
      <w:r>
        <w:rPr>
          <w:b/>
          <w:i w:val="0"/>
          <w:smallCaps w:val="0"/>
          <w:strike w:val="0"/>
          <w:sz w:val="22"/>
          <w:u w:val="single"/>
        </w:rPr>
        <w:t xml:space="preserve"> for the resource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is driven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primarily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by downstream productive activity that requires the resource as an input</w:t>
      </w:r>
      <w:r>
        <w:rPr>
          <w:b/>
          <w:i w:val="0"/>
          <w:smallCaps w:val="0"/>
          <w:strike w:val="0"/>
          <w:sz w:val="22"/>
          <w:u w:val="single"/>
        </w:rPr>
        <w:t>;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(3) The resource may be used as an input into a wide range of goods and services, including private goods, public goods, and nonmarket goods.242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