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Distortion DA --- overlap causes pr</w:t>
      </w:r>
      <w:r>
        <w:rPr>
          <w:b/>
          <w:i w:val="0"/>
          <w:smallCaps w:val="0"/>
          <w:strike w:val="0"/>
          <w:sz w:val="26"/>
          <w:u w:val="none"/>
        </w:rPr>
        <w:t>otection collapse --- turns the case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Yu ‘19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(Peter K. Yu. Professor of Law, Professor of Communication, and Director, Center for Law and Intellectual Property, Texas A&amp;M University, “Data Producer's Right and the Protection of Machine-Generated Data,” </w:t>
      </w:r>
      <w:r>
        <w:rPr>
          <w:b w:val="0"/>
          <w:i w:val="0"/>
          <w:smallCaps w:val="0"/>
          <w:strike w:val="0"/>
          <w:u w:val="none"/>
        </w:rPr>
        <w:t>pg</w:t>
      </w:r>
      <w:r>
        <w:rPr>
          <w:b w:val="0"/>
          <w:i w:val="0"/>
          <w:smallCaps w:val="0"/>
          <w:strike w:val="0"/>
          <w:u w:val="none"/>
        </w:rPr>
        <w:t xml:space="preserve"> online @ https://scholarship.law.tamu.edu/facscholar/1318/ //pa-</w:t>
      </w:r>
      <w:r>
        <w:rPr>
          <w:b w:val="0"/>
          <w:i w:val="0"/>
          <w:smallCaps w:val="0"/>
          <w:strike w:val="0"/>
          <w:u w:val="none"/>
        </w:rPr>
        <w:t>ef</w:t>
      </w:r>
      <w:r>
        <w:rPr>
          <w:b w:val="0"/>
          <w:i w:val="0"/>
          <w:smallCaps w:val="0"/>
          <w:strike w:val="0"/>
          <w:u w:val="none"/>
        </w:rPr>
        <w:t>)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cyan"/>
          <w:u w:val="single"/>
        </w:rPr>
        <w:t>When overlaps arise, the proposed right could lead to regime clashes and overprotection</w:t>
      </w:r>
      <w:r>
        <w:rPr>
          <w:b w:val="0"/>
          <w:i w:val="0"/>
          <w:smallCaps w:val="0"/>
          <w:strike w:val="0"/>
          <w:sz w:val="10"/>
          <w:u w:val="none"/>
        </w:rPr>
        <w:t xml:space="preserve">.271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Such clashes and overlaps, in turn, would undermine the protection offered in preexisting intellectual property regimes,</w:t>
      </w:r>
      <w:r>
        <w:rPr>
          <w:b w:val="0"/>
          <w:i w:val="0"/>
          <w:smallCaps w:val="0"/>
          <w:strike w:val="0"/>
          <w:sz w:val="10"/>
          <w:u w:val="none"/>
        </w:rPr>
        <w:t xml:space="preserve"> especially in relation to their limitations, safeguards, and flexibilities.272 If these overlaps are to be avoided, commentators have suggested the need for preemption tools.273 As </w:t>
      </w:r>
      <w:r>
        <w:rPr>
          <w:b w:val="0"/>
          <w:i w:val="0"/>
          <w:smallCaps w:val="0"/>
          <w:strike w:val="0"/>
          <w:sz w:val="10"/>
          <w:u w:val="none"/>
        </w:rPr>
        <w:t>Hugenholtz</w:t>
      </w:r>
      <w:r>
        <w:rPr>
          <w:b w:val="0"/>
          <w:i w:val="0"/>
          <w:smallCaps w:val="0"/>
          <w:strike w:val="0"/>
          <w:sz w:val="10"/>
          <w:u w:val="none"/>
        </w:rPr>
        <w:t xml:space="preserve"> observed, "The only way to prevent the data right from becoming an all-encompassing 'super-[intellectual property] right' would be to categorically exclude all data that (possibly) represent subject matter protected under traditional [intellectual property] regimes: not only copyright, the database right and neighboring rights, but also design right and perhaps patent law."274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