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4 </w:t>
      </w:r>
      <w:r>
        <w:rPr>
          <w:b/>
          <w:i w:val="0"/>
          <w:smallCaps w:val="0"/>
          <w:strike w:val="0"/>
          <w:sz w:val="26"/>
          <w:u w:val="none"/>
        </w:rPr>
        <w:t>---</w:t>
      </w:r>
      <w:r>
        <w:rPr>
          <w:b/>
          <w:i w:val="0"/>
          <w:smallCaps w:val="0"/>
          <w:strike w:val="0"/>
          <w:sz w:val="26"/>
          <w:u w:val="none"/>
        </w:rPr>
        <w:t xml:space="preserve"> </w:t>
      </w:r>
      <w:r>
        <w:rPr>
          <w:b/>
          <w:i w:val="0"/>
          <w:smallCaps w:val="0"/>
          <w:strike w:val="0"/>
          <w:sz w:val="26"/>
          <w:u w:val="single"/>
        </w:rPr>
        <w:t>INNOVATIONS</w:t>
      </w:r>
      <w:r>
        <w:rPr>
          <w:b/>
          <w:i w:val="0"/>
          <w:smallCaps w:val="0"/>
          <w:strike w:val="0"/>
          <w:sz w:val="26"/>
          <w:u w:val="none"/>
        </w:rPr>
        <w:t xml:space="preserve"> </w:t>
      </w:r>
      <w:r>
        <w:rPr>
          <w:b/>
          <w:i w:val="0"/>
          <w:smallCaps w:val="0"/>
          <w:strike w:val="0"/>
          <w:sz w:val="26"/>
          <w:u w:val="none"/>
        </w:rPr>
        <w:t>---</w:t>
      </w:r>
      <w:r>
        <w:rPr>
          <w:b/>
          <w:i w:val="0"/>
          <w:smallCaps w:val="0"/>
          <w:strike w:val="0"/>
          <w:sz w:val="26"/>
          <w:u w:val="none"/>
        </w:rPr>
        <w:t xml:space="preserve"> the counterplan allows non-obviousness, the plan doesn’t</w:t>
      </w:r>
    </w:p>
    <w:p>
      <w:pPr>
        <w:spacing w:after="80"/>
      </w:pPr>
      <w:r>
        <w:rPr>
          <w:b w:val="0"/>
          <w:i w:val="0"/>
          <w:smallCaps w:val="0"/>
          <w:strike w:val="0"/>
          <w:u w:val="none"/>
        </w:rPr>
        <w:t xml:space="preserve">Jerome H. </w:t>
      </w:r>
      <w:r>
        <w:rPr>
          <w:b/>
          <w:i w:val="0"/>
          <w:smallCaps w:val="0"/>
          <w:strike w:val="0"/>
          <w:sz w:val="26"/>
          <w:u w:val="none"/>
        </w:rPr>
        <w:t>Reichman and</w:t>
      </w:r>
      <w:r>
        <w:rPr>
          <w:b w:val="0"/>
          <w:i w:val="0"/>
          <w:smallCaps w:val="0"/>
          <w:strike w:val="0"/>
          <w:u w:val="none"/>
        </w:rPr>
        <w:t xml:space="preserve"> Ana Santos </w:t>
      </w:r>
      <w:r>
        <w:rPr>
          <w:b/>
          <w:i w:val="0"/>
          <w:smallCaps w:val="0"/>
          <w:strike w:val="0"/>
          <w:sz w:val="26"/>
          <w:u w:val="none"/>
        </w:rPr>
        <w:t>Rutschman ’24</w:t>
      </w:r>
      <w:r>
        <w:rPr>
          <w:b w:val="0"/>
          <w:i w:val="0"/>
          <w:smallCaps w:val="0"/>
          <w:strike w:val="0"/>
          <w:u w:val="none"/>
        </w:rPr>
        <w:t xml:space="preserve">, </w:t>
      </w:r>
      <w:r>
        <w:rPr>
          <w:b w:val="0"/>
          <w:i w:val="0"/>
          <w:smallCaps w:val="0"/>
          <w:strike w:val="0"/>
          <w:u w:val="none"/>
        </w:rPr>
        <w:t>Bunyan S. Womble Professor of Law at Duke Law School</w:t>
      </w:r>
      <w:r>
        <w:rPr>
          <w:b w:val="0"/>
          <w:i w:val="0"/>
          <w:smallCaps w:val="0"/>
          <w:strike w:val="0"/>
          <w:u w:val="none"/>
        </w:rPr>
        <w:t xml:space="preserve"> focusing largely on IP law including comparative and international IP law and former s</w:t>
      </w:r>
      <w:r>
        <w:rPr>
          <w:b w:val="0"/>
          <w:i w:val="0"/>
          <w:smallCaps w:val="0"/>
          <w:strike w:val="0"/>
          <w:u w:val="none"/>
        </w:rPr>
        <w:t>pecial advisor to the United States National Academies and the International Council for Science (ICSU) on the subject of legal protection for databases</w:t>
      </w:r>
      <w:r>
        <w:rPr>
          <w:b w:val="0"/>
          <w:i w:val="0"/>
          <w:smallCaps w:val="0"/>
          <w:strike w:val="0"/>
          <w:u w:val="none"/>
        </w:rPr>
        <w:t xml:space="preserve">, teaches and researches IP law including being </w:t>
      </w:r>
      <w:r>
        <w:rPr>
          <w:b w:val="0"/>
          <w:i w:val="0"/>
          <w:smallCaps w:val="0"/>
          <w:strike w:val="0"/>
          <w:u w:val="none"/>
        </w:rPr>
        <w:t>a</w:t>
      </w:r>
      <w:r>
        <w:rPr>
          <w:b w:val="0"/>
          <w:i w:val="0"/>
          <w:smallCaps w:val="0"/>
          <w:strike w:val="0"/>
          <w:u w:val="none"/>
        </w:rPr>
        <w:t xml:space="preserve"> internationally recognized expert on vaccine law and </w:t>
      </w:r>
      <w:r>
        <w:rPr>
          <w:b w:val="0"/>
          <w:i w:val="0"/>
          <w:smallCaps w:val="0"/>
          <w:strike w:val="0"/>
          <w:u w:val="none"/>
        </w:rPr>
        <w:t>Bio Intellectual Property Scholar in 2017</w:t>
      </w:r>
      <w:r>
        <w:rPr>
          <w:b w:val="0"/>
          <w:i w:val="0"/>
          <w:smallCaps w:val="0"/>
          <w:strike w:val="0"/>
          <w:u w:val="none"/>
        </w:rPr>
        <w:t>, “</w:t>
      </w:r>
      <w:r>
        <w:rPr>
          <w:b w:val="0"/>
          <w:i w:val="0"/>
          <w:smallCaps w:val="0"/>
          <w:strike w:val="0"/>
          <w:u w:val="none"/>
        </w:rPr>
        <w:t xml:space="preserve">A Codified Liability Regime to Stimulate Greater Investment in </w:t>
      </w:r>
      <w:r>
        <w:rPr>
          <w:b w:val="0"/>
          <w:i w:val="0"/>
          <w:smallCaps w:val="0"/>
          <w:strike w:val="0"/>
          <w:u w:val="none"/>
        </w:rPr>
        <w:t>Subpatentable</w:t>
      </w:r>
      <w:r>
        <w:rPr>
          <w:b w:val="0"/>
          <w:i w:val="0"/>
          <w:smallCaps w:val="0"/>
          <w:strike w:val="0"/>
          <w:u w:val="none"/>
        </w:rPr>
        <w:t xml:space="preserve"> Innovation</w:t>
      </w:r>
      <w:r>
        <w:rPr>
          <w:b w:val="0"/>
          <w:i w:val="0"/>
          <w:smallCaps w:val="0"/>
          <w:strike w:val="0"/>
          <w:u w:val="none"/>
        </w:rPr>
        <w:t xml:space="preserve">,” </w:t>
      </w:r>
      <w:r>
        <w:rPr>
          <w:b w:val="0"/>
          <w:i/>
          <w:smallCaps w:val="0"/>
          <w:strike w:val="0"/>
          <w:u w:val="none"/>
        </w:rPr>
        <w:t>UC Davis Law Review</w:t>
      </w:r>
      <w:r>
        <w:rPr>
          <w:b w:val="0"/>
          <w:i w:val="0"/>
          <w:smallCaps w:val="0"/>
          <w:strike w:val="0"/>
          <w:u w:val="none"/>
        </w:rPr>
        <w:t xml:space="preserve">, February 2024, Vol. 57, Pg 2053, </w:t>
      </w:r>
      <w:r>
        <w:rPr>
          <w:b w:val="0"/>
          <w:i w:val="0"/>
          <w:smallCaps w:val="0"/>
          <w:strike w:val="0"/>
          <w:u w:val="none"/>
        </w:rPr>
        <w:t>https://lawreview.law.ucdavis.edu/archives/57/3/codified-liability-regime-stimulate-greater-investment-subpatentable-innovation</w:t>
      </w:r>
      <w:r>
        <w:rPr>
          <w:b w:val="0"/>
          <w:i w:val="0"/>
          <w:smallCaps w:val="0"/>
          <w:strike w:val="0"/>
          <w:u w:val="none"/>
        </w:rPr>
        <w:t>, Accessed 7-15-2024 by NT-RS through LexisNexis</w:t>
      </w:r>
    </w:p>
    <w:p>
      <w:pPr>
        <w:spacing w:after="60"/>
      </w:pPr>
      <w:r>
        <w:rPr>
          <w:b/>
          <w:i w:val="0"/>
          <w:smallCaps w:val="0"/>
          <w:strike w:val="0"/>
          <w:sz w:val="22"/>
          <w:highlight w:val="cyan"/>
          <w:u w:val="single"/>
        </w:rPr>
        <w:t>Under the proposed</w:t>
      </w:r>
      <w:r>
        <w:rPr>
          <w:b w:val="0"/>
          <w:i w:val="0"/>
          <w:smallCaps w:val="0"/>
          <w:strike w:val="0"/>
          <w:sz w:val="16"/>
          <w:u w:val="none"/>
        </w:rPr>
        <w:t xml:space="preserve"> sui generis </w:t>
      </w:r>
      <w:r>
        <w:rPr>
          <w:b/>
          <w:i w:val="0"/>
          <w:smallCaps w:val="0"/>
          <w:strike w:val="0"/>
          <w:sz w:val="22"/>
          <w:highlight w:val="cyan"/>
          <w:u w:val="single"/>
        </w:rPr>
        <w:t>regime</w:t>
      </w:r>
      <w:r>
        <w:rPr>
          <w:b w:val="0"/>
          <w:i w:val="0"/>
          <w:smallCaps w:val="0"/>
          <w:strike w:val="0"/>
          <w:sz w:val="16"/>
          <w:u w:val="none"/>
        </w:rPr>
        <w:t xml:space="preserve"> for </w:t>
      </w:r>
      <w:r>
        <w:rPr>
          <w:b w:val="0"/>
          <w:i w:val="0"/>
          <w:smallCaps w:val="0"/>
          <w:strike w:val="0"/>
          <w:sz w:val="16"/>
          <w:u w:val="none"/>
        </w:rPr>
        <w:t>subpatentable</w:t>
      </w:r>
      <w:r>
        <w:rPr>
          <w:b w:val="0"/>
          <w:i w:val="0"/>
          <w:smallCaps w:val="0"/>
          <w:strike w:val="0"/>
          <w:sz w:val="16"/>
          <w:u w:val="none"/>
        </w:rPr>
        <w:t xml:space="preserve"> innovation, </w:t>
      </w:r>
      <w:r>
        <w:rPr>
          <w:b/>
          <w:i w:val="0"/>
          <w:smallCaps w:val="0"/>
          <w:strike w:val="0"/>
          <w:sz w:val="22"/>
          <w:u w:val="single"/>
        </w:rPr>
        <w:t xml:space="preserve">both </w:t>
      </w:r>
      <w:r>
        <w:rPr>
          <w:b/>
          <w:i w:val="0"/>
          <w:smallCaps w:val="0"/>
          <w:strike w:val="0"/>
          <w:sz w:val="22"/>
          <w:highlight w:val="cyan"/>
          <w:u w:val="single"/>
        </w:rPr>
        <w:t>novelty and utility would remain</w:t>
      </w:r>
      <w:r>
        <w:rPr>
          <w:b/>
          <w:i w:val="0"/>
          <w:smallCaps w:val="0"/>
          <w:strike w:val="0"/>
          <w:sz w:val="22"/>
          <w:u w:val="single"/>
        </w:rPr>
        <w:t xml:space="preserve"> requirements</w:t>
      </w:r>
      <w:r>
        <w:rPr>
          <w:b w:val="0"/>
          <w:i w:val="0"/>
          <w:smallCaps w:val="0"/>
          <w:strike w:val="0"/>
          <w:sz w:val="16"/>
          <w:u w:val="none"/>
        </w:rPr>
        <w:t xml:space="preserve">. </w:t>
      </w:r>
      <w:r>
        <w:rPr>
          <w:b/>
          <w:i w:val="0"/>
          <w:smallCaps w:val="0"/>
          <w:strike w:val="0"/>
          <w:sz w:val="22"/>
          <w:u w:val="single"/>
        </w:rPr>
        <w:t xml:space="preserve">However, </w:t>
      </w:r>
      <w:r>
        <w:rPr>
          <w:b/>
          <w:i w:val="0"/>
          <w:smallCaps w:val="0"/>
          <w:strike w:val="0"/>
          <w:sz w:val="22"/>
          <w:highlight w:val="cyan"/>
          <w:u w:val="single"/>
        </w:rPr>
        <w:t>instead of non-obviousness</w:t>
      </w:r>
      <w:r>
        <w:rPr>
          <w:b w:val="0"/>
          <w:i w:val="0"/>
          <w:smallCaps w:val="0"/>
          <w:strike w:val="0"/>
          <w:sz w:val="16"/>
          <w:u w:val="none"/>
        </w:rPr>
        <w:t xml:space="preserve">, </w:t>
      </w:r>
      <w:r>
        <w:rPr>
          <w:b w:val="0"/>
          <w:i w:val="0"/>
          <w:smallCaps w:val="0"/>
          <w:strike w:val="0"/>
          <w:sz w:val="16"/>
          <w:highlight w:val="cyan"/>
          <w:u w:val="none"/>
        </w:rPr>
        <w:t xml:space="preserve">the </w:t>
      </w:r>
      <w:r>
        <w:rPr>
          <w:b/>
          <w:i w:val="0"/>
          <w:smallCaps w:val="0"/>
          <w:strike w:val="0"/>
          <w:sz w:val="22"/>
          <w:highlight w:val="cyan"/>
          <w:u w:val="single"/>
        </w:rPr>
        <w:t>applicant would need to prove</w:t>
      </w:r>
      <w:r>
        <w:rPr>
          <w:b/>
          <w:i w:val="0"/>
          <w:smallCaps w:val="0"/>
          <w:strike w:val="0"/>
          <w:sz w:val="22"/>
          <w:u w:val="single"/>
        </w:rPr>
        <w:t xml:space="preserve"> the</w:t>
      </w:r>
      <w:r>
        <w:rPr>
          <w:b w:val="0"/>
          <w:i w:val="0"/>
          <w:smallCaps w:val="0"/>
          <w:strike w:val="0"/>
          <w:sz w:val="16"/>
          <w:u w:val="none"/>
        </w:rPr>
        <w:t xml:space="preserve"> </w:t>
      </w:r>
      <w:r>
        <w:rPr>
          <w:b/>
          <w:i w:val="0"/>
          <w:smallCaps w:val="0"/>
          <w:strike w:val="0"/>
          <w:sz w:val="22"/>
          <w:highlight w:val="cyan"/>
          <w:u w:val="single"/>
        </w:rPr>
        <w:t>existence of an innovative contribution beyond the prior art</w:t>
      </w:r>
      <w:r>
        <w:rPr>
          <w:b w:val="0"/>
          <w:i w:val="0"/>
          <w:smallCaps w:val="0"/>
          <w:strike w:val="0"/>
          <w:sz w:val="16"/>
          <w:u w:val="none"/>
        </w:rPr>
        <w:t>. This contribution would presumably be of social value, which could stem from the market response.92 This proposition does not mean that every type of innovative contribution would necessarily be of social value, given that markets sometimes ignore social value.93 However, in those cases where social value is questionable, market demand results only in a liability rule and not in an exclusive property right.</w:t>
      </w:r>
    </w:p>
    <w:p>
      <w:pPr>
        <w:spacing w:after="60"/>
      </w:pPr>
      <w:r>
        <w:rPr>
          <w:b w:val="0"/>
          <w:i w:val="0"/>
          <w:smallCaps w:val="0"/>
          <w:strike w:val="0"/>
          <w:sz w:val="16"/>
          <w:u w:val="none"/>
        </w:rPr>
        <w:t xml:space="preserve">This Article defines “innovative contribution” as a demonstrable technological advancement beyond the prior art that does not rise to the level of non-obviousness. </w:t>
      </w:r>
      <w:r>
        <w:rPr>
          <w:b/>
          <w:i w:val="0"/>
          <w:smallCaps w:val="0"/>
          <w:strike w:val="0"/>
          <w:sz w:val="22"/>
          <w:highlight w:val="cyan"/>
          <w:u w:val="single"/>
        </w:rPr>
        <w:t>Under</w:t>
      </w:r>
      <w:r>
        <w:rPr>
          <w:b w:val="0"/>
          <w:i w:val="0"/>
          <w:smallCaps w:val="0"/>
          <w:strike w:val="0"/>
          <w:sz w:val="16"/>
          <w:u w:val="none"/>
        </w:rPr>
        <w:t xml:space="preserve"> current </w:t>
      </w:r>
      <w:r>
        <w:rPr>
          <w:b/>
          <w:i w:val="0"/>
          <w:smallCaps w:val="0"/>
          <w:strike w:val="0"/>
          <w:sz w:val="22"/>
          <w:highlight w:val="cyan"/>
          <w:u w:val="single"/>
        </w:rPr>
        <w:t>patent</w:t>
      </w:r>
      <w:r>
        <w:rPr>
          <w:b/>
          <w:i w:val="0"/>
          <w:smallCaps w:val="0"/>
          <w:strike w:val="0"/>
          <w:sz w:val="22"/>
          <w:u w:val="single"/>
        </w:rPr>
        <w:t xml:space="preserve"> law, </w:t>
      </w:r>
      <w:r>
        <w:rPr>
          <w:b/>
          <w:i w:val="0"/>
          <w:smallCaps w:val="0"/>
          <w:strike w:val="0"/>
          <w:sz w:val="22"/>
          <w:highlight w:val="cyan"/>
          <w:u w:val="single"/>
        </w:rPr>
        <w:t>non-obviousness refers to</w:t>
      </w:r>
      <w:r>
        <w:rPr>
          <w:b w:val="0"/>
          <w:i w:val="0"/>
          <w:smallCaps w:val="0"/>
          <w:strike w:val="0"/>
          <w:sz w:val="16"/>
          <w:highlight w:val="cyan"/>
          <w:u w:val="none"/>
        </w:rPr>
        <w:t xml:space="preserve"> </w:t>
      </w:r>
      <w:r>
        <w:rPr>
          <w:b/>
          <w:i w:val="0"/>
          <w:smallCaps w:val="0"/>
          <w:strike w:val="0"/>
          <w:sz w:val="22"/>
          <w:highlight w:val="cyan"/>
          <w:u w:val="single"/>
        </w:rPr>
        <w:t>situations in which</w:t>
      </w:r>
      <w:r>
        <w:rPr>
          <w:b w:val="0"/>
          <w:i w:val="0"/>
          <w:smallCaps w:val="0"/>
          <w:strike w:val="0"/>
          <w:sz w:val="16"/>
          <w:u w:val="none"/>
        </w:rPr>
        <w:t xml:space="preserve">, even though an existing single source does not disclose each and every component of the claimed invention, that </w:t>
      </w:r>
      <w:r>
        <w:rPr>
          <w:b/>
          <w:i w:val="0"/>
          <w:smallCaps w:val="0"/>
          <w:strike w:val="0"/>
          <w:sz w:val="22"/>
          <w:highlight w:val="cyan"/>
          <w:u w:val="single"/>
        </w:rPr>
        <w:t>invention</w:t>
      </w:r>
      <w:r>
        <w:rPr>
          <w:b w:val="0"/>
          <w:i w:val="0"/>
          <w:smallCaps w:val="0"/>
          <w:strike w:val="0"/>
          <w:sz w:val="16"/>
          <w:u w:val="none"/>
        </w:rPr>
        <w:t xml:space="preserve"> nonetheless </w:t>
      </w:r>
      <w:r>
        <w:rPr>
          <w:b/>
          <w:i w:val="0"/>
          <w:smallCaps w:val="0"/>
          <w:strike w:val="0"/>
          <w:sz w:val="22"/>
          <w:highlight w:val="cyan"/>
          <w:u w:val="single"/>
        </w:rPr>
        <w:t>results from</w:t>
      </w:r>
      <w:r>
        <w:rPr>
          <w:b/>
          <w:i w:val="0"/>
          <w:smallCaps w:val="0"/>
          <w:strike w:val="0"/>
          <w:sz w:val="22"/>
          <w:u w:val="single"/>
        </w:rPr>
        <w:t xml:space="preserve"> an unpredictable </w:t>
      </w:r>
      <w:r>
        <w:rPr>
          <w:b/>
          <w:i w:val="0"/>
          <w:smallCaps w:val="0"/>
          <w:strike w:val="0"/>
          <w:sz w:val="22"/>
          <w:highlight w:val="cyan"/>
          <w:u w:val="single"/>
        </w:rPr>
        <w:t>combination of components disclosed</w:t>
      </w:r>
      <w:r>
        <w:rPr>
          <w:b w:val="0"/>
          <w:i w:val="0"/>
          <w:smallCaps w:val="0"/>
          <w:strike w:val="0"/>
          <w:sz w:val="16"/>
          <w:u w:val="none"/>
        </w:rPr>
        <w:t xml:space="preserve"> in more than one pre-existing source.94 According to the doctrine of obviousness, the question thus becomes one of assessing whether an expert in the relevant technical field(s) would find a combination of these elements to be obvious.95</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