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5 --- STRENGHTEN --- Liability is a weaker regime than the </w:t>
      </w:r>
      <w:r>
        <w:rPr>
          <w:b/>
          <w:i w:val="0"/>
          <w:smallCaps w:val="0"/>
          <w:strike w:val="0"/>
          <w:sz w:val="26"/>
          <w:u w:val="none"/>
        </w:rPr>
        <w:t>squo</w:t>
      </w:r>
      <w:r>
        <w:rPr>
          <w:b/>
          <w:i w:val="0"/>
          <w:smallCaps w:val="0"/>
          <w:strike w:val="0"/>
          <w:sz w:val="26"/>
          <w:u w:val="none"/>
        </w:rPr>
        <w:t xml:space="preserve"> --- the cp WEAKENS IP protections</w:t>
      </w:r>
    </w:p>
    <w:p>
      <w:pPr>
        <w:spacing w:after="80"/>
      </w:pPr>
      <w:r>
        <w:rPr>
          <w:b w:val="0"/>
          <w:i w:val="0"/>
          <w:smallCaps w:val="0"/>
          <w:strike w:val="0"/>
          <w:u w:val="none"/>
        </w:rPr>
        <w:t xml:space="preserve">BJ </w:t>
      </w:r>
      <w:r>
        <w:rPr>
          <w:b/>
          <w:i w:val="0"/>
          <w:smallCaps w:val="0"/>
          <w:strike w:val="0"/>
          <w:sz w:val="26"/>
          <w:u w:val="none"/>
        </w:rPr>
        <w:t>Ard ’19</w:t>
      </w:r>
      <w:r>
        <w:rPr>
          <w:b w:val="0"/>
          <w:i w:val="0"/>
          <w:smallCaps w:val="0"/>
          <w:strike w:val="0"/>
          <w:u w:val="none"/>
        </w:rPr>
        <w:t xml:space="preserve">, </w:t>
      </w:r>
      <w:r>
        <w:rPr>
          <w:b w:val="0"/>
          <w:i w:val="0"/>
          <w:smallCaps w:val="0"/>
          <w:strike w:val="0"/>
          <w:u w:val="none"/>
        </w:rPr>
        <w:t>Associate Professor of Law</w:t>
      </w:r>
      <w:r>
        <w:rPr>
          <w:b w:val="0"/>
          <w:i w:val="0"/>
          <w:smallCaps w:val="0"/>
          <w:strike w:val="0"/>
          <w:u w:val="none"/>
        </w:rPr>
        <w:t xml:space="preserve">, “More Property Rules than? The Right to Exclude in Patent and Copyright,” </w:t>
      </w:r>
      <w:r>
        <w:rPr>
          <w:b w:val="0"/>
          <w:i/>
          <w:smallCaps w:val="0"/>
          <w:strike w:val="0"/>
          <w:u w:val="none"/>
        </w:rPr>
        <w:t xml:space="preserve">Emory Law </w:t>
      </w:r>
      <w:r>
        <w:rPr>
          <w:b w:val="0"/>
          <w:i w:val="0"/>
          <w:smallCaps w:val="0"/>
          <w:strike w:val="0"/>
          <w:u w:val="none"/>
        </w:rPr>
        <w:t>Journal</w:t>
      </w:r>
      <w:r>
        <w:rPr>
          <w:b w:val="0"/>
          <w:i w:val="0"/>
          <w:smallCaps w:val="0"/>
          <w:strike w:val="0"/>
          <w:u w:val="none"/>
        </w:rPr>
        <w:t xml:space="preserve">, Vol 68, </w:t>
      </w:r>
      <w:r>
        <w:rPr>
          <w:b w:val="0"/>
          <w:i w:val="0"/>
          <w:smallCaps w:val="0"/>
          <w:strike w:val="0"/>
          <w:u w:val="none"/>
        </w:rPr>
        <w:t>Iss</w:t>
      </w:r>
      <w:r>
        <w:rPr>
          <w:b w:val="0"/>
          <w:i w:val="0"/>
          <w:smallCaps w:val="0"/>
          <w:strike w:val="0"/>
          <w:u w:val="none"/>
        </w:rPr>
        <w:t xml:space="preserve"> 4, </w:t>
      </w:r>
      <w:r>
        <w:rPr>
          <w:b w:val="0"/>
          <w:i w:val="0"/>
          <w:smallCaps w:val="0"/>
          <w:strike w:val="0"/>
          <w:u w:val="none"/>
        </w:rPr>
        <w:t>pg</w:t>
      </w:r>
      <w:r>
        <w:rPr>
          <w:b w:val="0"/>
          <w:i w:val="0"/>
          <w:smallCaps w:val="0"/>
          <w:strike w:val="0"/>
          <w:u w:val="none"/>
        </w:rPr>
        <w:t xml:space="preserve"> </w:t>
      </w:r>
      <w:r>
        <w:rPr>
          <w:b w:val="0"/>
          <w:i w:val="0"/>
          <w:smallCaps w:val="0"/>
          <w:strike w:val="0"/>
          <w:u w:val="none"/>
        </w:rPr>
        <w:t>687</w:t>
      </w:r>
      <w:r>
        <w:rPr>
          <w:b w:val="0"/>
          <w:i w:val="0"/>
          <w:smallCaps w:val="0"/>
          <w:strike w:val="0"/>
          <w:u w:val="none"/>
        </w:rPr>
        <w:t xml:space="preserve">, 2019, </w:t>
      </w:r>
      <w:r>
        <w:rPr>
          <w:b w:val="0"/>
          <w:i w:val="0"/>
          <w:smallCaps w:val="0"/>
          <w:strike w:val="0"/>
          <w:u w:val="none"/>
        </w:rPr>
        <w:t>https://scholarlycommons.law.emory.edu/cgi/viewcontent.cgi?article=1017&amp;context=elj</w:t>
      </w:r>
      <w:r>
        <w:rPr>
          <w:b w:val="0"/>
          <w:i w:val="0"/>
          <w:smallCaps w:val="0"/>
          <w:strike w:val="0"/>
          <w:u w:val="none"/>
        </w:rPr>
        <w:t>, Accessed 7-17-2024 by NT-RS</w:t>
      </w:r>
    </w:p>
    <w:p>
      <w:pPr>
        <w:spacing w:after="60"/>
      </w:pPr>
      <w:r>
        <w:rPr>
          <w:b/>
          <w:i w:val="0"/>
          <w:smallCaps w:val="0"/>
          <w:strike w:val="0"/>
          <w:sz w:val="22"/>
          <w:highlight w:val="cyan"/>
          <w:u w:val="single"/>
        </w:rPr>
        <w:t>Patent and copyright</w:t>
      </w:r>
      <w:r>
        <w:rPr>
          <w:b/>
          <w:i w:val="0"/>
          <w:smallCaps w:val="0"/>
          <w:strike w:val="0"/>
          <w:sz w:val="22"/>
          <w:u w:val="single"/>
        </w:rPr>
        <w:t xml:space="preserve"> law </w:t>
      </w:r>
      <w:r>
        <w:rPr>
          <w:b/>
          <w:i w:val="0"/>
          <w:smallCaps w:val="0"/>
          <w:strike w:val="0"/>
          <w:sz w:val="22"/>
          <w:highlight w:val="cyan"/>
          <w:u w:val="single"/>
        </w:rPr>
        <w:t>rely</w:t>
      </w:r>
      <w:r>
        <w:rPr>
          <w:b w:val="0"/>
          <w:i w:val="0"/>
          <w:smallCaps w:val="0"/>
          <w:strike w:val="0"/>
          <w:sz w:val="16"/>
          <w:u w:val="none"/>
        </w:rPr>
        <w:t xml:space="preserve"> predominantly </w:t>
      </w:r>
      <w:r>
        <w:rPr>
          <w:b/>
          <w:i w:val="0"/>
          <w:smallCaps w:val="0"/>
          <w:strike w:val="0"/>
          <w:sz w:val="22"/>
          <w:highlight w:val="cyan"/>
          <w:u w:val="single"/>
        </w:rPr>
        <w:t>on property rules</w:t>
      </w:r>
      <w:r>
        <w:rPr>
          <w:b w:val="0"/>
          <w:i w:val="0"/>
          <w:smallCaps w:val="0"/>
          <w:strike w:val="0"/>
          <w:sz w:val="16"/>
          <w:u w:val="none"/>
        </w:rPr>
        <w:t xml:space="preserve"> rather than liability rules.1 While this may not seem surprising for areas of law designated as “intellectual property” (IP), it turns out that copyright and patent rely more consistently on property rules than property law itself. </w:t>
      </w:r>
      <w:r>
        <w:rPr>
          <w:b/>
          <w:i w:val="0"/>
          <w:smallCaps w:val="0"/>
          <w:strike w:val="0"/>
          <w:sz w:val="22"/>
          <w:u w:val="single"/>
        </w:rPr>
        <w:t xml:space="preserve">In designating </w:t>
      </w:r>
      <w:r>
        <w:rPr>
          <w:b/>
          <w:i w:val="0"/>
          <w:smallCaps w:val="0"/>
          <w:strike w:val="0"/>
          <w:sz w:val="22"/>
          <w:highlight w:val="cyan"/>
          <w:u w:val="single"/>
        </w:rPr>
        <w:t>strong rights to exclude as “property rules,”</w:t>
      </w:r>
      <w:r>
        <w:rPr>
          <w:b w:val="0"/>
          <w:i w:val="0"/>
          <w:smallCaps w:val="0"/>
          <w:strike w:val="0"/>
          <w:sz w:val="16"/>
          <w:u w:val="none"/>
        </w:rPr>
        <w:t xml:space="preserve"> Guido Calabresi and Douglas Melamed </w:t>
      </w:r>
      <w:r>
        <w:rPr>
          <w:b/>
          <w:i w:val="0"/>
          <w:smallCaps w:val="0"/>
          <w:strike w:val="0"/>
          <w:sz w:val="22"/>
          <w:u w:val="single"/>
        </w:rPr>
        <w:t>evoked the high level of protection the law provides over ownership of tangible things</w:t>
      </w:r>
      <w:r>
        <w:rPr>
          <w:b w:val="0"/>
          <w:i w:val="0"/>
          <w:smallCaps w:val="0"/>
          <w:strike w:val="0"/>
          <w:sz w:val="16"/>
          <w:u w:val="none"/>
        </w:rPr>
        <w:t xml:space="preserve">, especially real property.2 The </w:t>
      </w:r>
      <w:r>
        <w:rPr>
          <w:b/>
          <w:i w:val="0"/>
          <w:smallCaps w:val="0"/>
          <w:strike w:val="0"/>
          <w:sz w:val="22"/>
          <w:u w:val="single"/>
        </w:rPr>
        <w:t>law of real property</w:t>
      </w:r>
      <w:r>
        <w:rPr>
          <w:b w:val="0"/>
          <w:i w:val="0"/>
          <w:smallCaps w:val="0"/>
          <w:strike w:val="0"/>
          <w:sz w:val="16"/>
          <w:u w:val="none"/>
        </w:rPr>
        <w:t xml:space="preserve"> nonetheless </w:t>
      </w:r>
      <w:r>
        <w:rPr>
          <w:b/>
          <w:i w:val="0"/>
          <w:smallCaps w:val="0"/>
          <w:strike w:val="0"/>
          <w:sz w:val="22"/>
          <w:u w:val="single"/>
        </w:rPr>
        <w:t xml:space="preserve">draws on the </w:t>
      </w:r>
      <w:r>
        <w:rPr>
          <w:b/>
          <w:i w:val="0"/>
          <w:smallCaps w:val="0"/>
          <w:strike w:val="0"/>
          <w:sz w:val="22"/>
          <w:highlight w:val="cyan"/>
          <w:u w:val="single"/>
        </w:rPr>
        <w:t>weaker protection</w:t>
      </w:r>
      <w:r>
        <w:rPr>
          <w:b/>
          <w:i w:val="0"/>
          <w:smallCaps w:val="0"/>
          <w:strike w:val="0"/>
          <w:sz w:val="22"/>
          <w:highlight w:val="cyan"/>
          <w:u w:val="single"/>
        </w:rPr>
        <w:t xml:space="preserve"> of liability rules</w:t>
      </w:r>
      <w:r>
        <w:rPr>
          <w:b w:val="0"/>
          <w:i w:val="0"/>
          <w:smallCaps w:val="0"/>
          <w:strike w:val="0"/>
          <w:sz w:val="16"/>
          <w:u w:val="none"/>
        </w:rPr>
        <w:t xml:space="preserve"> in many situations. These departures from property-rule protection allow for remedial flexibility in cases where the injunctive relief and punitive damages authorized under a property rule would seem disproportionate to the defendant’s culpability or create conditions for opportunism and market failure.</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