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w:t>
      </w:r>
      <w:r>
        <w:rPr>
          <w:b/>
          <w:i w:val="0"/>
          <w:smallCaps w:val="0"/>
          <w:strike w:val="0"/>
          <w:sz w:val="26"/>
          <w:u w:val="none"/>
        </w:rPr>
        <w:t>---</w:t>
      </w:r>
      <w:r>
        <w:rPr>
          <w:b/>
          <w:i w:val="0"/>
          <w:smallCaps w:val="0"/>
          <w:strike w:val="0"/>
          <w:sz w:val="26"/>
          <w:u w:val="none"/>
        </w:rPr>
        <w:t xml:space="preserve"> Application costs</w:t>
      </w:r>
    </w:p>
    <w:p>
      <w:pPr>
        <w:spacing w:after="80"/>
      </w:pPr>
      <w:r>
        <w:rPr>
          <w:b w:val="0"/>
          <w:i w:val="0"/>
          <w:smallCaps w:val="0"/>
          <w:strike w:val="0"/>
          <w:u w:val="none"/>
        </w:rPr>
        <w:t xml:space="preserve">Mark D. </w:t>
      </w:r>
      <w:r>
        <w:rPr>
          <w:b/>
          <w:i w:val="0"/>
          <w:smallCaps w:val="0"/>
          <w:strike w:val="0"/>
          <w:sz w:val="26"/>
          <w:u w:val="none"/>
        </w:rPr>
        <w:t>Janis</w:t>
      </w:r>
      <w:r>
        <w:rPr>
          <w:b/>
          <w:i w:val="0"/>
          <w:smallCaps w:val="0"/>
          <w:strike w:val="0"/>
          <w:sz w:val="26"/>
          <w:u w:val="none"/>
        </w:rPr>
        <w:t xml:space="preserve"> ’99</w:t>
      </w:r>
      <w:r>
        <w:rPr>
          <w:b w:val="0"/>
          <w:i w:val="0"/>
          <w:smallCaps w:val="0"/>
          <w:strike w:val="0"/>
          <w:u w:val="none"/>
        </w:rPr>
        <w:t xml:space="preserve">, </w:t>
      </w:r>
      <w:r>
        <w:rPr>
          <w:b w:val="0"/>
          <w:i w:val="0"/>
          <w:smallCaps w:val="0"/>
          <w:strike w:val="0"/>
          <w:u w:val="none"/>
        </w:rPr>
        <w:t>Robert A. Lucas Chair of Law and Director of the Center for Intellectual Property Research</w:t>
      </w:r>
      <w:r>
        <w:rPr>
          <w:b w:val="0"/>
          <w:i w:val="0"/>
          <w:smallCaps w:val="0"/>
          <w:strike w:val="0"/>
          <w:u w:val="none"/>
        </w:rPr>
        <w:t xml:space="preserve"> at Indiana University teaching intellectual property law, “Second Tier Patent Protection,” </w:t>
      </w:r>
      <w:r>
        <w:rPr>
          <w:b w:val="0"/>
          <w:i/>
          <w:smallCaps w:val="0"/>
          <w:strike w:val="0"/>
          <w:u w:val="none"/>
        </w:rPr>
        <w:t xml:space="preserve">40 </w:t>
      </w:r>
      <w:r>
        <w:rPr>
          <w:b w:val="0"/>
          <w:i/>
          <w:smallCaps w:val="0"/>
          <w:strike w:val="0"/>
          <w:u w:val="none"/>
        </w:rPr>
        <w:t>Harvard International Law Journal 151</w:t>
      </w:r>
      <w:r>
        <w:rPr>
          <w:b w:val="0"/>
          <w:i w:val="0"/>
          <w:smallCaps w:val="0"/>
          <w:strike w:val="0"/>
          <w:u w:val="none"/>
        </w:rPr>
        <w:t xml:space="preserve">, </w:t>
      </w:r>
      <w:r>
        <w:rPr>
          <w:b w:val="0"/>
          <w:i w:val="0"/>
          <w:smallCaps w:val="0"/>
          <w:strike w:val="0"/>
          <w:u w:val="none"/>
        </w:rPr>
        <w:t>pgs</w:t>
      </w:r>
      <w:r>
        <w:rPr>
          <w:b w:val="0"/>
          <w:i w:val="0"/>
          <w:smallCaps w:val="0"/>
          <w:strike w:val="0"/>
          <w:u w:val="none"/>
        </w:rPr>
        <w:t xml:space="preserve"> 179-181, 1999, </w:t>
      </w:r>
      <w:r>
        <w:rPr>
          <w:b w:val="0"/>
          <w:i w:val="0"/>
          <w:smallCaps w:val="0"/>
          <w:strike w:val="0"/>
          <w:u w:val="none"/>
        </w:rPr>
        <w:t>, Accessed 7-17-2024 by NT-RS</w:t>
      </w:r>
    </w:p>
    <w:p>
      <w:pPr>
        <w:spacing w:after="60"/>
      </w:pPr>
      <w:r>
        <w:rPr>
          <w:b/>
          <w:i w:val="0"/>
          <w:smallCaps w:val="0"/>
          <w:strike w:val="0"/>
          <w:sz w:val="22"/>
          <w:highlight w:val="cyan"/>
          <w:u w:val="single"/>
        </w:rPr>
        <w:t>Cost</w:t>
      </w:r>
      <w:r>
        <w:rPr>
          <w:b/>
          <w:i w:val="0"/>
          <w:smallCaps w:val="0"/>
          <w:strike w:val="0"/>
          <w:sz w:val="22"/>
          <w:u w:val="single"/>
        </w:rPr>
        <w:t xml:space="preserve"> is no doubt the </w:t>
      </w:r>
      <w:r>
        <w:rPr>
          <w:b/>
          <w:i w:val="0"/>
          <w:smallCaps w:val="0"/>
          <w:strike w:val="0"/>
          <w:sz w:val="22"/>
          <w:highlight w:val="cyan"/>
          <w:u w:val="single"/>
        </w:rPr>
        <w:t>major obstacle impeding SMEs</w:t>
      </w:r>
      <w:r>
        <w:rPr>
          <w:b/>
          <w:i w:val="0"/>
          <w:smallCaps w:val="0"/>
          <w:strike w:val="0"/>
          <w:sz w:val="22"/>
          <w:u w:val="single"/>
        </w:rPr>
        <w:t xml:space="preserve"> </w:t>
      </w:r>
      <w:r>
        <w:rPr>
          <w:b w:val="0"/>
          <w:i w:val="0"/>
          <w:smallCaps w:val="0"/>
          <w:strike w:val="0"/>
          <w:sz w:val="16"/>
          <w:u w:val="none"/>
        </w:rPr>
        <w:t xml:space="preserve">access to patent systems worldwide. In addressing this concern, however, </w:t>
      </w:r>
      <w:r>
        <w:rPr>
          <w:b/>
          <w:i w:val="0"/>
          <w:smallCaps w:val="0"/>
          <w:strike w:val="0"/>
          <w:sz w:val="22"/>
          <w:highlight w:val="cyan"/>
          <w:u w:val="single"/>
        </w:rPr>
        <w:t>second tier</w:t>
      </w:r>
      <w:r>
        <w:rPr>
          <w:b/>
          <w:i w:val="0"/>
          <w:smallCaps w:val="0"/>
          <w:strike w:val="0"/>
          <w:sz w:val="22"/>
          <w:u w:val="single"/>
        </w:rPr>
        <w:t xml:space="preserve"> patent proposals </w:t>
      </w:r>
      <w:r>
        <w:rPr>
          <w:b/>
          <w:i w:val="0"/>
          <w:smallCaps w:val="0"/>
          <w:strike w:val="0"/>
          <w:sz w:val="22"/>
          <w:highlight w:val="cyan"/>
          <w:u w:val="single"/>
        </w:rPr>
        <w:t>focus strictly on the reduction of acquisition costs</w:t>
      </w:r>
      <w:r>
        <w:rPr>
          <w:b w:val="0"/>
          <w:i w:val="0"/>
          <w:smallCaps w:val="0"/>
          <w:strike w:val="0"/>
          <w:sz w:val="16"/>
          <w:u w:val="none"/>
        </w:rPr>
        <w:t xml:space="preserve">. It seems quite safe to assume that second tier protection would certainly be characterized by lower fees (filing fees, issuance fees, and </w:t>
      </w:r>
      <w:r>
        <w:rPr>
          <w:b w:val="0"/>
          <w:i w:val="0"/>
          <w:smallCaps w:val="0"/>
          <w:strike w:val="0"/>
          <w:sz w:val="16"/>
          <w:u w:val="none"/>
        </w:rPr>
        <w:t>postissuance</w:t>
      </w:r>
      <w:r>
        <w:rPr>
          <w:b w:val="0"/>
          <w:i w:val="0"/>
          <w:smallCaps w:val="0"/>
          <w:strike w:val="0"/>
          <w:sz w:val="16"/>
          <w:u w:val="none"/>
        </w:rPr>
        <w:t xml:space="preserve"> maintenance fees). 162 In addition, by avoiding the creation of a [footnotes omitted] Community level right, the EU neatly avoids questions about the costs of translations, another major component of costs for would-be patent applicants.163</w:t>
      </w:r>
    </w:p>
    <w:p>
      <w:pPr>
        <w:spacing w:after="60"/>
      </w:pPr>
      <w:r>
        <w:rPr>
          <w:b w:val="0"/>
          <w:i w:val="0"/>
          <w:smallCaps w:val="0"/>
          <w:strike w:val="0"/>
          <w:sz w:val="16"/>
          <w:u w:val="none"/>
        </w:rPr>
        <w:t xml:space="preserve">A </w:t>
      </w:r>
      <w:r>
        <w:rPr>
          <w:b/>
          <w:i w:val="0"/>
          <w:smallCaps w:val="0"/>
          <w:strike w:val="0"/>
          <w:sz w:val="22"/>
          <w:u w:val="single"/>
        </w:rPr>
        <w:t>number of</w:t>
      </w:r>
      <w:r>
        <w:rPr>
          <w:b/>
          <w:i w:val="0"/>
          <w:smallCaps w:val="0"/>
          <w:strike w:val="0"/>
          <w:sz w:val="22"/>
          <w:u w:val="single"/>
        </w:rPr>
        <w:t xml:space="preserve"> questions</w:t>
      </w:r>
      <w:r>
        <w:rPr>
          <w:b/>
          <w:i w:val="0"/>
          <w:smallCaps w:val="0"/>
          <w:strike w:val="0"/>
          <w:sz w:val="22"/>
          <w:u w:val="single"/>
        </w:rPr>
        <w:t xml:space="preserve"> should be raised about the proposition that second tier protection brings reduced costs.</w:t>
      </w:r>
      <w:r>
        <w:rPr>
          <w:b w:val="0"/>
          <w:i w:val="0"/>
          <w:smallCaps w:val="0"/>
          <w:strike w:val="0"/>
          <w:sz w:val="16"/>
          <w:u w:val="none"/>
        </w:rPr>
        <w:t xml:space="preserve"> First, </w:t>
      </w:r>
      <w:r>
        <w:rPr>
          <w:b/>
          <w:i w:val="0"/>
          <w:smallCaps w:val="0"/>
          <w:strike w:val="0"/>
          <w:sz w:val="22"/>
          <w:highlight w:val="cyan"/>
          <w:u w:val="single"/>
        </w:rPr>
        <w:t xml:space="preserve">looking </w:t>
      </w:r>
      <w:r>
        <w:rPr>
          <w:b/>
          <w:i w:val="0"/>
          <w:smallCaps w:val="0"/>
          <w:strike w:val="0"/>
          <w:sz w:val="22"/>
          <w:u w:val="single"/>
        </w:rPr>
        <w:t xml:space="preserve">strictly </w:t>
      </w:r>
      <w:r>
        <w:rPr>
          <w:b/>
          <w:i w:val="0"/>
          <w:smallCaps w:val="0"/>
          <w:strike w:val="0"/>
          <w:sz w:val="22"/>
          <w:highlight w:val="cyan"/>
          <w:u w:val="single"/>
        </w:rPr>
        <w:t>to</w:t>
      </w:r>
      <w:r>
        <w:rPr>
          <w:b/>
          <w:i w:val="0"/>
          <w:smallCaps w:val="0"/>
          <w:strike w:val="0"/>
          <w:sz w:val="22"/>
          <w:u w:val="single"/>
        </w:rPr>
        <w:t xml:space="preserve"> government </w:t>
      </w:r>
      <w:r>
        <w:rPr>
          <w:b/>
          <w:i w:val="0"/>
          <w:smallCaps w:val="0"/>
          <w:strike w:val="0"/>
          <w:sz w:val="22"/>
          <w:highlight w:val="cyan"/>
          <w:u w:val="single"/>
        </w:rPr>
        <w:t>fees</w:t>
      </w:r>
      <w:r>
        <w:rPr>
          <w:b w:val="0"/>
          <w:i w:val="0"/>
          <w:smallCaps w:val="0"/>
          <w:strike w:val="0"/>
          <w:sz w:val="16"/>
          <w:u w:val="none"/>
        </w:rPr>
        <w:t xml:space="preserve">, one should </w:t>
      </w:r>
      <w:r>
        <w:rPr>
          <w:b/>
          <w:i w:val="0"/>
          <w:smallCaps w:val="0"/>
          <w:strike w:val="0"/>
          <w:sz w:val="22"/>
          <w:highlight w:val="cyan"/>
          <w:u w:val="single"/>
        </w:rPr>
        <w:t>question the</w:t>
      </w:r>
      <w:r>
        <w:rPr>
          <w:b/>
          <w:i w:val="0"/>
          <w:smallCaps w:val="0"/>
          <w:strike w:val="0"/>
          <w:sz w:val="22"/>
          <w:u w:val="single"/>
        </w:rPr>
        <w:t xml:space="preserve"> likely </w:t>
      </w:r>
      <w:r>
        <w:rPr>
          <w:b/>
          <w:i w:val="0"/>
          <w:smallCaps w:val="0"/>
          <w:strike w:val="0"/>
          <w:sz w:val="22"/>
          <w:highlight w:val="cyan"/>
          <w:u w:val="single"/>
        </w:rPr>
        <w:t>magnitude</w:t>
      </w:r>
      <w:r>
        <w:rPr>
          <w:b/>
          <w:i w:val="0"/>
          <w:smallCaps w:val="0"/>
          <w:strike w:val="0"/>
          <w:sz w:val="22"/>
          <w:highlight w:val="cyan"/>
          <w:u w:val="single"/>
        </w:rPr>
        <w:t xml:space="preserve"> of the</w:t>
      </w:r>
      <w:r>
        <w:rPr>
          <w:b/>
          <w:i w:val="0"/>
          <w:smallCaps w:val="0"/>
          <w:strike w:val="0"/>
          <w:sz w:val="22"/>
          <w:u w:val="single"/>
        </w:rPr>
        <w:t xml:space="preserve"> cost </w:t>
      </w:r>
      <w:r>
        <w:rPr>
          <w:b/>
          <w:i w:val="0"/>
          <w:smallCaps w:val="0"/>
          <w:strike w:val="0"/>
          <w:sz w:val="22"/>
          <w:highlight w:val="cyan"/>
          <w:u w:val="single"/>
        </w:rPr>
        <w:t>reduction</w:t>
      </w:r>
      <w:r>
        <w:rPr>
          <w:b w:val="0"/>
          <w:i w:val="0"/>
          <w:smallCaps w:val="0"/>
          <w:strike w:val="0"/>
          <w:sz w:val="16"/>
          <w:u w:val="none"/>
        </w:rPr>
        <w:t xml:space="preserve">. National </w:t>
      </w:r>
      <w:r>
        <w:rPr>
          <w:b/>
          <w:i w:val="0"/>
          <w:smallCaps w:val="0"/>
          <w:strike w:val="0"/>
          <w:sz w:val="22"/>
          <w:highlight w:val="cyan"/>
          <w:u w:val="single"/>
        </w:rPr>
        <w:t>patent offices</w:t>
      </w:r>
      <w:r>
        <w:rPr>
          <w:b w:val="0"/>
          <w:i w:val="0"/>
          <w:smallCaps w:val="0"/>
          <w:strike w:val="0"/>
          <w:sz w:val="16"/>
          <w:u w:val="none"/>
        </w:rPr>
        <w:t xml:space="preserve"> in Europe and the United States, as well as the EPO, are </w:t>
      </w:r>
      <w:r>
        <w:rPr>
          <w:b/>
          <w:i w:val="0"/>
          <w:smallCaps w:val="0"/>
          <w:strike w:val="0"/>
          <w:sz w:val="22"/>
          <w:highlight w:val="cyan"/>
          <w:u w:val="single"/>
        </w:rPr>
        <w:t>embarking on cost reductions</w:t>
      </w:r>
      <w:r>
        <w:rPr>
          <w:b/>
          <w:i w:val="0"/>
          <w:smallCaps w:val="0"/>
          <w:strike w:val="0"/>
          <w:sz w:val="22"/>
          <w:u w:val="single"/>
        </w:rPr>
        <w:t xml:space="preserve"> for the regular patent system</w:t>
      </w:r>
      <w:r>
        <w:rPr>
          <w:b w:val="0"/>
          <w:i w:val="0"/>
          <w:smallCaps w:val="0"/>
          <w:strike w:val="0"/>
          <w:sz w:val="16"/>
          <w:u w:val="none"/>
        </w:rPr>
        <w:t xml:space="preserve"> even as the </w:t>
      </w:r>
      <w:r>
        <w:rPr>
          <w:b w:val="0"/>
          <w:i w:val="0"/>
          <w:smallCaps w:val="0"/>
          <w:strike w:val="0"/>
          <w:sz w:val="16"/>
          <w:u w:val="none"/>
        </w:rPr>
        <w:t>second tier</w:t>
      </w:r>
      <w:r>
        <w:rPr>
          <w:b w:val="0"/>
          <w:i w:val="0"/>
          <w:smallCaps w:val="0"/>
          <w:strike w:val="0"/>
          <w:sz w:val="16"/>
          <w:u w:val="none"/>
        </w:rPr>
        <w:t xml:space="preserve"> proposals are being considered. 164 </w:t>
      </w:r>
      <w:r>
        <w:rPr>
          <w:b/>
          <w:i w:val="0"/>
          <w:smallCaps w:val="0"/>
          <w:strike w:val="0"/>
          <w:sz w:val="22"/>
          <w:highlight w:val="cyan"/>
          <w:u w:val="single"/>
        </w:rPr>
        <w:t>Claims that second tier</w:t>
      </w:r>
      <w:r>
        <w:rPr>
          <w:b/>
          <w:i w:val="0"/>
          <w:smallCaps w:val="0"/>
          <w:strike w:val="0"/>
          <w:sz w:val="22"/>
          <w:u w:val="single"/>
        </w:rPr>
        <w:t xml:space="preserve"> protection </w:t>
      </w:r>
      <w:r>
        <w:rPr>
          <w:b/>
          <w:i w:val="0"/>
          <w:smallCaps w:val="0"/>
          <w:strike w:val="0"/>
          <w:sz w:val="22"/>
          <w:highlight w:val="cyan"/>
          <w:u w:val="single"/>
        </w:rPr>
        <w:t>offers generous reductions</w:t>
      </w:r>
      <w:r>
        <w:rPr>
          <w:b/>
          <w:i w:val="0"/>
          <w:smallCaps w:val="0"/>
          <w:strike w:val="0"/>
          <w:sz w:val="22"/>
          <w:u w:val="single"/>
        </w:rPr>
        <w:t xml:space="preserve"> in fees may prove to be</w:t>
      </w:r>
      <w:r>
        <w:rPr>
          <w:b w:val="0"/>
          <w:i w:val="0"/>
          <w:smallCaps w:val="0"/>
          <w:strike w:val="0"/>
          <w:sz w:val="16"/>
          <w:u w:val="none"/>
        </w:rPr>
        <w:t xml:space="preserve"> </w:t>
      </w:r>
      <w:r>
        <w:rPr>
          <w:b/>
          <w:i w:val="0"/>
          <w:smallCaps w:val="0"/>
          <w:strike w:val="0"/>
          <w:sz w:val="22"/>
          <w:highlight w:val="cyan"/>
          <w:u w:val="single"/>
        </w:rPr>
        <w:t>seriously inflated</w:t>
      </w:r>
      <w:r>
        <w:rPr>
          <w:b w:val="0"/>
          <w:i w:val="0"/>
          <w:smallCaps w:val="0"/>
          <w:strike w:val="0"/>
          <w:sz w:val="16"/>
          <w:highlight w:val="cyan"/>
          <w:u w:val="none"/>
        </w:rPr>
        <w:t>.</w:t>
      </w:r>
      <w:r>
        <w:rPr>
          <w:b w:val="0"/>
          <w:i w:val="0"/>
          <w:smallCaps w:val="0"/>
          <w:strike w:val="0"/>
          <w:sz w:val="16"/>
          <w:u w:val="none"/>
        </w:rPr>
        <w:t>1 65</w:t>
      </w:r>
    </w:p>
    <w:p>
      <w:pPr>
        <w:spacing w:after="60"/>
      </w:pPr>
      <w:r>
        <w:rPr>
          <w:b w:val="0"/>
          <w:i w:val="0"/>
          <w:smallCaps w:val="0"/>
          <w:strike w:val="0"/>
          <w:sz w:val="16"/>
          <w:u w:val="none"/>
        </w:rPr>
        <w:t xml:space="preserve">Perhaps more importantly, one may wonder why the problem of burdensome costs for SMEs is best addressed via the indirect route of creating an entirely new regime of rights which may or may not prove more affordable to SMEs. Attacking costs of the regular patent system directly might seem to be effort better spent. Indeed, </w:t>
      </w:r>
      <w:r>
        <w:rPr>
          <w:b/>
          <w:i w:val="0"/>
          <w:smallCaps w:val="0"/>
          <w:strike w:val="0"/>
          <w:sz w:val="22"/>
          <w:highlight w:val="cyan"/>
          <w:u w:val="single"/>
        </w:rPr>
        <w:t>U.S. law</w:t>
      </w:r>
      <w:r>
        <w:rPr>
          <w:b/>
          <w:i w:val="0"/>
          <w:smallCaps w:val="0"/>
          <w:strike w:val="0"/>
          <w:sz w:val="22"/>
          <w:u w:val="single"/>
        </w:rPr>
        <w:t xml:space="preserve"> already contains innovations which at least attempt to </w:t>
      </w:r>
      <w:r>
        <w:rPr>
          <w:b/>
          <w:i w:val="0"/>
          <w:smallCaps w:val="0"/>
          <w:strike w:val="0"/>
          <w:sz w:val="22"/>
          <w:highlight w:val="cyan"/>
          <w:u w:val="single"/>
        </w:rPr>
        <w:t>address the problem of high acquisition costs</w:t>
      </w:r>
      <w:r>
        <w:rPr>
          <w:b/>
          <w:i w:val="0"/>
          <w:smallCaps w:val="0"/>
          <w:strike w:val="0"/>
          <w:sz w:val="22"/>
          <w:u w:val="single"/>
        </w:rPr>
        <w:t xml:space="preserve">. </w:t>
      </w:r>
      <w:r>
        <w:rPr>
          <w:b w:val="0"/>
          <w:i w:val="0"/>
          <w:smallCaps w:val="0"/>
          <w:strike w:val="0"/>
          <w:sz w:val="16"/>
          <w:u w:val="none"/>
        </w:rPr>
        <w:t>For example</w:t>
      </w:r>
      <w:r>
        <w:rPr>
          <w:b/>
          <w:i w:val="0"/>
          <w:smallCaps w:val="0"/>
          <w:strike w:val="0"/>
          <w:sz w:val="22"/>
          <w:u w:val="single"/>
        </w:rPr>
        <w:t>, "small entities" qualify for a fifty percent reduction in regular patent fees</w:t>
      </w:r>
      <w:r>
        <w:rPr>
          <w:b w:val="0"/>
          <w:i w:val="0"/>
          <w:smallCaps w:val="0"/>
          <w:strike w:val="0"/>
          <w:sz w:val="16"/>
          <w:u w:val="none"/>
        </w:rPr>
        <w:t xml:space="preserve">. 166 While few would argue that provisions such as this amount to a panacea for SMEs wishing to participate in the patent system, they at least </w:t>
      </w:r>
      <w:r>
        <w:rPr>
          <w:b/>
          <w:i w:val="0"/>
          <w:smallCaps w:val="0"/>
          <w:strike w:val="0"/>
          <w:sz w:val="22"/>
          <w:u w:val="single"/>
        </w:rPr>
        <w:t xml:space="preserve">raise hope that </w:t>
      </w:r>
      <w:r>
        <w:rPr>
          <w:b/>
          <w:i w:val="0"/>
          <w:smallCaps w:val="0"/>
          <w:strike w:val="0"/>
          <w:sz w:val="22"/>
          <w:highlight w:val="cyan"/>
          <w:u w:val="single"/>
        </w:rPr>
        <w:t>acquisition costs can be made reasonable through direct means</w:t>
      </w:r>
      <w:r>
        <w:rPr>
          <w:b w:val="0"/>
          <w:i w:val="0"/>
          <w:smallCaps w:val="0"/>
          <w:strike w:val="0"/>
          <w:sz w:val="16"/>
          <w:u w:val="none"/>
        </w:rPr>
        <w:t xml:space="preserve"> rather than through the creation of an entirely new layer of intellectual property rights.</w:t>
      </w:r>
    </w:p>
    <w:p>
      <w:pPr>
        <w:spacing w:after="60"/>
      </w:pPr>
      <w:r>
        <w:rPr>
          <w:b w:val="0"/>
          <w:i w:val="0"/>
          <w:smallCaps w:val="0"/>
          <w:strike w:val="0"/>
          <w:sz w:val="16"/>
          <w:u w:val="none"/>
        </w:rPr>
        <w:t xml:space="preserve">Second, </w:t>
      </w:r>
      <w:r>
        <w:rPr>
          <w:b/>
          <w:i w:val="0"/>
          <w:smallCaps w:val="0"/>
          <w:strike w:val="0"/>
          <w:sz w:val="22"/>
          <w:highlight w:val="cyan"/>
          <w:u w:val="single"/>
        </w:rPr>
        <w:t>attorneys</w:t>
      </w:r>
      <w:r>
        <w:rPr>
          <w:b/>
          <w:i w:val="0"/>
          <w:smallCaps w:val="0"/>
          <w:strike w:val="0"/>
          <w:sz w:val="22"/>
          <w:highlight w:val="cyan"/>
          <w:u w:val="single"/>
        </w:rPr>
        <w:t xml:space="preserve"> fees</w:t>
      </w:r>
      <w:r>
        <w:rPr>
          <w:b/>
          <w:i w:val="0"/>
          <w:smallCaps w:val="0"/>
          <w:strike w:val="0"/>
          <w:sz w:val="22"/>
          <w:u w:val="single"/>
        </w:rPr>
        <w:t xml:space="preserve"> represent a </w:t>
      </w:r>
      <w:r>
        <w:rPr>
          <w:b/>
          <w:i w:val="0"/>
          <w:smallCaps w:val="0"/>
          <w:strike w:val="0"/>
          <w:sz w:val="22"/>
          <w:highlight w:val="cyan"/>
          <w:u w:val="single"/>
        </w:rPr>
        <w:t>substantial acquisition cost</w:t>
      </w:r>
      <w:r>
        <w:rPr>
          <w:b w:val="0"/>
          <w:i w:val="0"/>
          <w:smallCaps w:val="0"/>
          <w:strike w:val="0"/>
          <w:sz w:val="16"/>
          <w:u w:val="none"/>
        </w:rPr>
        <w:t xml:space="preserve"> for regular patents which dwarfs government fees in the ordinary case.167 </w:t>
      </w:r>
      <w:r>
        <w:rPr>
          <w:b/>
          <w:i w:val="0"/>
          <w:smallCaps w:val="0"/>
          <w:strike w:val="0"/>
          <w:sz w:val="22"/>
          <w:highlight w:val="cyan"/>
          <w:u w:val="single"/>
        </w:rPr>
        <w:t>Given</w:t>
      </w:r>
      <w:r>
        <w:rPr>
          <w:b/>
          <w:i w:val="0"/>
          <w:smallCaps w:val="0"/>
          <w:strike w:val="0"/>
          <w:sz w:val="22"/>
          <w:u w:val="single"/>
        </w:rPr>
        <w:t xml:space="preserve"> the substantive </w:t>
      </w:r>
      <w:r>
        <w:rPr>
          <w:b/>
          <w:i w:val="0"/>
          <w:smallCaps w:val="0"/>
          <w:strike w:val="0"/>
          <w:sz w:val="22"/>
          <w:highlight w:val="cyan"/>
          <w:u w:val="single"/>
        </w:rPr>
        <w:t>demands</w:t>
      </w:r>
      <w:r>
        <w:rPr>
          <w:b/>
          <w:i w:val="0"/>
          <w:smallCaps w:val="0"/>
          <w:strike w:val="0"/>
          <w:sz w:val="22"/>
          <w:u w:val="single"/>
        </w:rPr>
        <w:t xml:space="preserve"> of the proposed second tier </w:t>
      </w:r>
      <w:r>
        <w:rPr>
          <w:b w:val="0"/>
          <w:i w:val="0"/>
          <w:smallCaps w:val="0"/>
          <w:strike w:val="0"/>
          <w:sz w:val="16"/>
          <w:u w:val="none"/>
        </w:rPr>
        <w:t xml:space="preserve">regimes </w:t>
      </w:r>
      <w:r>
        <w:rPr>
          <w:b/>
          <w:i w:val="0"/>
          <w:smallCaps w:val="0"/>
          <w:strike w:val="0"/>
          <w:sz w:val="22"/>
          <w:highlight w:val="cyan"/>
          <w:u w:val="single"/>
        </w:rPr>
        <w:t>for</w:t>
      </w:r>
      <w:r>
        <w:rPr>
          <w:b w:val="0"/>
          <w:i w:val="0"/>
          <w:smallCaps w:val="0"/>
          <w:strike w:val="0"/>
          <w:sz w:val="16"/>
          <w:u w:val="none"/>
        </w:rPr>
        <w:t xml:space="preserve"> adequate </w:t>
      </w:r>
      <w:r>
        <w:rPr>
          <w:b/>
          <w:i w:val="0"/>
          <w:smallCaps w:val="0"/>
          <w:strike w:val="0"/>
          <w:sz w:val="22"/>
          <w:highlight w:val="cyan"/>
          <w:u w:val="single"/>
        </w:rPr>
        <w:t>disclo</w:t>
      </w:r>
      <w:r>
        <w:rPr>
          <w:b/>
          <w:i w:val="0"/>
          <w:smallCaps w:val="0"/>
          <w:strike w:val="0"/>
          <w:sz w:val="22"/>
          <w:u w:val="single"/>
        </w:rPr>
        <w:t xml:space="preserve">sure </w:t>
      </w:r>
      <w:r>
        <w:rPr>
          <w:b w:val="0"/>
          <w:i w:val="0"/>
          <w:smallCaps w:val="0"/>
          <w:strike w:val="0"/>
          <w:sz w:val="16"/>
          <w:u w:val="none"/>
        </w:rPr>
        <w:t xml:space="preserve">68 </w:t>
      </w:r>
      <w:r>
        <w:rPr>
          <w:b/>
          <w:i w:val="0"/>
          <w:smallCaps w:val="0"/>
          <w:strike w:val="0"/>
          <w:sz w:val="22"/>
          <w:highlight w:val="cyan"/>
          <w:u w:val="single"/>
        </w:rPr>
        <w:t>and limit</w:t>
      </w:r>
      <w:r>
        <w:rPr>
          <w:b/>
          <w:i w:val="0"/>
          <w:smallCaps w:val="0"/>
          <w:strike w:val="0"/>
          <w:sz w:val="22"/>
          <w:u w:val="single"/>
        </w:rPr>
        <w:t>ation</w:t>
      </w:r>
      <w:r>
        <w:rPr>
          <w:b/>
          <w:i w:val="0"/>
          <w:smallCaps w:val="0"/>
          <w:strike w:val="0"/>
          <w:sz w:val="22"/>
          <w:highlight w:val="cyan"/>
          <w:u w:val="single"/>
        </w:rPr>
        <w:t>s</w:t>
      </w:r>
      <w:r>
        <w:rPr>
          <w:b/>
          <w:i w:val="0"/>
          <w:smallCaps w:val="0"/>
          <w:strike w:val="0"/>
          <w:sz w:val="22"/>
          <w:u w:val="single"/>
        </w:rPr>
        <w:t xml:space="preserve"> </w:t>
      </w:r>
      <w:r>
        <w:rPr>
          <w:b/>
          <w:i w:val="0"/>
          <w:smallCaps w:val="0"/>
          <w:strike w:val="0"/>
          <w:sz w:val="22"/>
          <w:highlight w:val="cyan"/>
          <w:u w:val="single"/>
        </w:rPr>
        <w:t>on</w:t>
      </w:r>
      <w:r>
        <w:rPr>
          <w:b/>
          <w:i w:val="0"/>
          <w:smallCaps w:val="0"/>
          <w:strike w:val="0"/>
          <w:sz w:val="22"/>
          <w:u w:val="single"/>
        </w:rPr>
        <w:t xml:space="preserve"> opportunities for </w:t>
      </w:r>
      <w:r>
        <w:rPr>
          <w:b w:val="0"/>
          <w:i w:val="0"/>
          <w:smallCaps w:val="0"/>
          <w:strike w:val="0"/>
          <w:sz w:val="16"/>
          <w:u w:val="none"/>
        </w:rPr>
        <w:t xml:space="preserve">post-grant [footnotes omitted] </w:t>
      </w:r>
      <w:r>
        <w:rPr>
          <w:b/>
          <w:i w:val="0"/>
          <w:smallCaps w:val="0"/>
          <w:strike w:val="0"/>
          <w:sz w:val="22"/>
          <w:highlight w:val="cyan"/>
          <w:u w:val="single"/>
        </w:rPr>
        <w:t>amendments</w:t>
      </w:r>
      <w:r>
        <w:rPr>
          <w:b/>
          <w:i w:val="0"/>
          <w:smallCaps w:val="0"/>
          <w:strike w:val="0"/>
          <w:sz w:val="22"/>
          <w:u w:val="single"/>
        </w:rPr>
        <w:t>,</w:t>
      </w:r>
      <w:r>
        <w:rPr>
          <w:b w:val="0"/>
          <w:i w:val="0"/>
          <w:smallCaps w:val="0"/>
          <w:strike w:val="0"/>
          <w:sz w:val="16"/>
          <w:u w:val="none"/>
        </w:rPr>
        <w:t xml:space="preserve"> 169 there is </w:t>
      </w:r>
      <w:r>
        <w:rPr>
          <w:b/>
          <w:i w:val="0"/>
          <w:smallCaps w:val="0"/>
          <w:strike w:val="0"/>
          <w:sz w:val="22"/>
          <w:highlight w:val="cyan"/>
          <w:u w:val="single"/>
        </w:rPr>
        <w:t>every reason to believe</w:t>
      </w:r>
      <w:r>
        <w:rPr>
          <w:b w:val="0"/>
          <w:i w:val="0"/>
          <w:smallCaps w:val="0"/>
          <w:strike w:val="0"/>
          <w:sz w:val="16"/>
          <w:u w:val="none"/>
        </w:rPr>
        <w:t xml:space="preserve"> that </w:t>
      </w:r>
      <w:r>
        <w:rPr>
          <w:b/>
          <w:i w:val="0"/>
          <w:smallCaps w:val="0"/>
          <w:strike w:val="0"/>
          <w:sz w:val="22"/>
          <w:highlight w:val="cyan"/>
          <w:u w:val="single"/>
        </w:rPr>
        <w:t>attorneys</w:t>
      </w:r>
      <w:r>
        <w:rPr>
          <w:b/>
          <w:i w:val="0"/>
          <w:smallCaps w:val="0"/>
          <w:strike w:val="0"/>
          <w:sz w:val="22"/>
          <w:highlight w:val="cyan"/>
          <w:u w:val="single"/>
        </w:rPr>
        <w:t xml:space="preserve"> fees will</w:t>
      </w:r>
      <w:r>
        <w:rPr>
          <w:b/>
          <w:i w:val="0"/>
          <w:smallCaps w:val="0"/>
          <w:strike w:val="0"/>
          <w:sz w:val="22"/>
          <w:u w:val="single"/>
        </w:rPr>
        <w:t xml:space="preserve"> also </w:t>
      </w:r>
      <w:r>
        <w:rPr>
          <w:b/>
          <w:i w:val="0"/>
          <w:smallCaps w:val="0"/>
          <w:strike w:val="0"/>
          <w:sz w:val="22"/>
          <w:highlight w:val="cyan"/>
          <w:u w:val="single"/>
        </w:rPr>
        <w:t>represent a substantial acquisition cost</w:t>
      </w:r>
      <w:r>
        <w:rPr>
          <w:b w:val="0"/>
          <w:i w:val="0"/>
          <w:smallCaps w:val="0"/>
          <w:strike w:val="0"/>
          <w:sz w:val="16"/>
          <w:u w:val="none"/>
        </w:rPr>
        <w:t xml:space="preserve"> in those regimes. Indeed, there </w:t>
      </w:r>
      <w:r>
        <w:rPr>
          <w:b/>
          <w:i w:val="0"/>
          <w:smallCaps w:val="0"/>
          <w:strike w:val="0"/>
          <w:sz w:val="22"/>
          <w:u w:val="single"/>
        </w:rPr>
        <w:t>may be even a</w:t>
      </w:r>
      <w:r>
        <w:rPr>
          <w:b w:val="0"/>
          <w:i w:val="0"/>
          <w:smallCaps w:val="0"/>
          <w:strike w:val="0"/>
          <w:sz w:val="16"/>
          <w:u w:val="none"/>
        </w:rPr>
        <w:t xml:space="preserve"> </w:t>
      </w:r>
      <w:r>
        <w:rPr>
          <w:b/>
          <w:i w:val="0"/>
          <w:smallCaps w:val="0"/>
          <w:strike w:val="0"/>
          <w:sz w:val="22"/>
          <w:highlight w:val="cyan"/>
          <w:u w:val="single"/>
        </w:rPr>
        <w:t>greater need</w:t>
      </w:r>
      <w:r>
        <w:rPr>
          <w:b w:val="0"/>
          <w:i w:val="0"/>
          <w:smallCaps w:val="0"/>
          <w:strike w:val="0"/>
          <w:sz w:val="16"/>
          <w:highlight w:val="cyan"/>
          <w:u w:val="none"/>
        </w:rPr>
        <w:t xml:space="preserve"> </w:t>
      </w:r>
      <w:r>
        <w:rPr>
          <w:b/>
          <w:i w:val="0"/>
          <w:smallCaps w:val="0"/>
          <w:strike w:val="0"/>
          <w:sz w:val="22"/>
          <w:highlight w:val="cyan"/>
          <w:u w:val="single"/>
        </w:rPr>
        <w:t>for attorney expertise</w:t>
      </w:r>
      <w:r>
        <w:rPr>
          <w:b w:val="0"/>
          <w:i w:val="0"/>
          <w:smallCaps w:val="0"/>
          <w:strike w:val="0"/>
          <w:sz w:val="16"/>
          <w:u w:val="none"/>
        </w:rPr>
        <w:t xml:space="preserve"> in the drafting of second tier patent applications because, in the absence of substantive examination, applicants may believe that only by placing a premium on skillful drafting can they demonstrate reasonably to potential licensees that the </w:t>
      </w:r>
      <w:r>
        <w:rPr>
          <w:b w:val="0"/>
          <w:i w:val="0"/>
          <w:smallCaps w:val="0"/>
          <w:strike w:val="0"/>
          <w:sz w:val="16"/>
          <w:u w:val="none"/>
        </w:rPr>
        <w:t>second tier</w:t>
      </w:r>
      <w:r>
        <w:rPr>
          <w:b w:val="0"/>
          <w:i w:val="0"/>
          <w:smallCaps w:val="0"/>
          <w:strike w:val="0"/>
          <w:sz w:val="16"/>
          <w:u w:val="none"/>
        </w:rPr>
        <w:t xml:space="preserve"> patent secures enforceable rights. 170</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